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4f68e99fe3264612"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28645</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OPĆINA STUBIČKE TOPLICE</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22</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IX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2.948.841,70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3.517.538,69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119,3</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1.871.982,78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1.967.217,47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105,1</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1.076.858,92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1.550.321,22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144,0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1.910.208,06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2.637.898,75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138,1</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1.910.208,06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2.637.898,75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138,1</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24.055,83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24.055,83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PRIMITAKA OD FINANCIJSKE IMOVINE I ZADUŽIVANJA (šifre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24.055,83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24.055,83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100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857.404,97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1.111.633,36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129,7</w:t>
            </w:r>
          </w:p>
        </w:tc>
      </w:tr>
    </w:tbl>
    <w:p>
      <w:pPr>
        <w:spacing w:before="0" w:after="0"/>
      </w:pPr>
    </w:p>
    <w:p>
      <w:r>
        <w:t xml:space="preserve">Prihodi poslovanja u odnosu na isto izvještajno razdoblje 2025. godine veći su za  19,30%. Odstupanje je vidljivo na prihodima od pomoći. Prihod od pomoći odnosi se na prihod iz državnog proračuna temeljem prijenosa sredstava iz EU za realizaciju projekta rekonstrukcija i dogradnja zgrade osnovne škole i izgradnju školske sportske dvorane te ostvarenje ovisi o podnesenim i odobrenim Zahtjevima za nadoknadom sredstava. Za navedenu namjenu ostvareno je u izvještajnom razdoblju 1.165.847,24 eura prihoda temeljem odobrenih Zahtjeva za nadoknadom sredstava dok je protekle godine to bilo manje. U izvještajnom razdoblju ostvareno je više prihoda od poreza na dohodak za 15,20% što se može obrazložiti povećanjem osobnih dohodaka stanovnika općine. Također su povećani prihodi od poreza na promet nekretnina radi povećanog prometa kupoprodaje nekretnina na području općine. Povećan je prihod od poreza na nekretnine i prihod od komunalne naknade za stambeni i poslovni prostor radi povećane vrijednosti boda za obračun komunalne naknade.</w:t>
      </w:r>
    </w:p>
    <w:p>
      <w:r>
        <w:t xml:space="preserve">U izvještajnom razdoblju ostvareno je ukupno 3.517.538,69 eura prihoda poslovanja. Rashodi poslovanja iznose 1.967.217,47 eura te je ostvaren višak prihoda poslovanja u iznosu od 1.550.321,22 eura. Prihodi od prodaje nefinancijske imovine nisu ostvareni u izvještajnom razdoblju dok rashodi za nabavu nefinancijske imovine iznose 2.637.898,75 eura pa je ostvaren manjak prihoda od nefinancijske imovine u iznosu od 2.637.898,75 eura. Primici od financijske imovine i zaduživanja  nisu ostvareni u izvještajnom razdoblju, dok izdaci za financijsku imovinu i otplate zajmova iznose 24.055,83 eura te je ostvaren manjak primitaka od financijske imovine i zaduživanja u iznosu od 24.055,83 eura. </w:t>
      </w:r>
    </w:p>
    <w:p>
      <w:r>
        <w:t xml:space="preserve">Sveukupno prihodi i primici iznose 3.517.538,69 eura, a sveukupno rashodi i izdaci iznose 4.629.172,05 eura. Višak prihoda poslovanja u iznosu od 1.550.321,22 eura i manjak prihoda od nefinancijske imovine u iznosu od 2.637.898,75 eura te manjak primitaka od financijske imovine u iznosu od 24.055,83 eura rezultirali su manjkom prihoda i primitaka u iznosu od 1.111.633,36 eura. </w:t>
      </w:r>
    </w:p>
    <w:p>
      <w:r>
        <w:t xml:space="preserve">Nadalje,  iz 2025. godine prenesen je manjak prihoda u iznosu od 603.052,80 eura te isti povećava rezultat manjka ostvarenog u tekućem izvještajnom razdoblju tako da manjak prihoda i primitaka za pokriće u sljedećem razdoblju iznosi 1.714.686,16 eura.</w:t>
      </w:r>
    </w:p>
    <w:p>
      <w:r>
        <w:t xml:space="preserve">Naznačeni manjak nastao je radi vremenskog nepodudaranja nastanka rashoda i ostvarenih prihoda od pomoći koji se evidentiraju nakon odobrenih Zahtjeva za nadoknadom sredstava, uplatom na račun, temeljem sklopljenih ugovora o dodijeljenim bespovratnim sredstvima iz EU fondova za  projekt rekonstrukcija i dogradnja zgrade osnovne škole i izgradnja školske sportske dvorane. Naime, radi se o tome da su Zahtjevi za nadoknadom sredstava poslani na obradu te se očekuje odobrenje i uplata sredstava. U tijeku je završetak projekta te će biti još poslanih Zahtjeva.</w:t>
      </w:r>
    </w:p>
    <w:p>
      <w:r>
        <w:t xml:space="preserve"> </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2.948.841,70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3.517.538,69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119,3</w:t>
            </w:r>
          </w:p>
        </w:tc>
      </w:tr>
    </w:tbl>
    <w:p>
      <w:pPr>
        <w:spacing w:before="0" w:after="0"/>
      </w:pPr>
    </w:p>
    <w:p>
      <w:r>
        <w:t xml:space="preserve">6 – Prihodi poslovanja -  planirani su u ukupnom iznosu od 7.853.690,00 eura, a u izvještajnom razdoblju ostvareno je 3.517.538,69 eura ili 44,79% u odnosu na planirano. Usporedbom sa istim izvještajnim razdobljem 2025. godine ostvareno je za 19,30% više prihoda. U odnosu na proteklu godinu najveće odstupanje je vidljivo na prihodima od pomoći i to 17,80% više. Prihod od pomoći odnosi se na prihod iz državnog proračuna temeljem prijenosa sredstava iz EU za realizaciju projekta rekonstrukcija i dogradnja zgrade osnovne škole i izgradnju školske sportske dvorane te ostvarenje ovisi o podnesenim i odobrenim Zahtjevima za nadoknadom sredstava. Za navedenu namjenu ostvareno je u izvještajnom razdoblju 1.262.376,47 eura prihoda temeljem odobrenih Zahtjeva za nadoknadom sredstava dok je protekle godine to bilo manje. U izvještajnom razdoblju ostvareno je više prihoda od poreza na dohodak za 15,20% što se može obrazložiti povećanjem osobnih dohodaka stanovnika općine. Također su povećani prihodi od poreza na promet nekretnina radi povećanog prometa kupoprodaje nekretnina na području općine. Povećan je prihod od poreza na nekretnine radi toga što su ove godine rješenja za porez na nekretnine izdana u travnju i poslane su opomene te je već u trećem kvartalu ostvaren veći prihod od naplate dok se u 2025. godini prihod počeo ostvarivati u drugom polugodištu radi toga što su rješenja izdana kasnije.  Povećan je i prihod od komunalne naknade za stambeni i poslovni prostor radi povećane vrijednosti boda za obračun komunalne naknade.</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Porez na dohodak (šifre 6111 do 6116 - 6117 - 6119)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1.541.272,12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1.776.025,93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115,2</w:t>
            </w:r>
          </w:p>
        </w:tc>
      </w:tr>
    </w:tbl>
    <w:p>
      <w:pPr>
        <w:spacing w:before="0" w:after="0"/>
      </w:pPr>
    </w:p>
    <w:p>
      <w:r>
        <w:t xml:space="preserve">Ostvareno je 1.776.025,93 eura prihoda, u odnosu na 2025. godinu ostvareno je za 15,20% više. Udio JLPR(R)S u ukupnim prihodima od poreza na dohodak nije se mijenjao pa se porast ostvarenja ove vrste prihoda u odnosu na proteklu godinu može pripisati povećanju osobnih dohodaka stanovnika općine.</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Porezi na imovinu (šifre 6131 do 6135)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155.544,45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185.752,92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119,4</w:t>
            </w:r>
          </w:p>
        </w:tc>
      </w:tr>
    </w:tbl>
    <w:p>
      <w:pPr>
        <w:spacing w:before="0" w:after="0"/>
      </w:pPr>
    </w:p>
    <w:p>
      <w:r>
        <w:t xml:space="preserve">Ova vrsta prihoda obuhvaća prihod od poreza na promet nekretnina, porez na nekretnine te naplatu poreza na kuće za odmor iz prethodnih godina. Ukupno je ostvareno  185.752,92 eura prihoda, a to je za 19,40% više u odnosu na 2025. godinu. Najznačajniji prihod je porez na promet nekretnina koji je ostvaren u iznosu od 111.823,15 eura odnosno za 15,60% više nego protekle godine, a to se može objasniti povećanim prometom nekretnina na području Općine. Naplaćeno je 740,38 eura prihoda od poreza na kuće za odmor koji se odnosi na naplatu potraživanja iz prethodnih godina i 73.189,39 eura prihoda poreza na nekretnine. Odstupanje u ostvarenju prihoda desilo radi toga što su ove godine rješenja obveznicima poreza na nekretnine izdana u travnju, a u rujnu su poslane opomene te je do kraja izvještajnog razdoblja ostvaren prihod od naplate ove vrste prihoda u većem iznosu dok se u 2025. godini prihod počeo ostvarivati u drugom polugodištu pa sve do kraja godine radi toga što su rješenja izdana u srpnju radi prilagodbe informacijskog sustava budući da je 2025. godine porez na nekretnine uveden kao novi porez umjesto poreza na kuće za odmor.  </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Porezi na robu i usluge (šifre 6141 do 61476148)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15.895,08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14.801,79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93,1</w:t>
            </w:r>
          </w:p>
        </w:tc>
      </w:tr>
    </w:tbl>
    <w:p>
      <w:pPr>
        <w:spacing w:before="0" w:after="0"/>
      </w:pPr>
    </w:p>
    <w:p>
      <w:r>
        <w:t xml:space="preserve">Odnosi se na prihod od poreza na potrošnju alkoholnih pića (vinjak, rakiju i žestokih pića), prirodnih vina, specijalnih vina, piva i bezalkoholnih pića, a plaća se po stopi od 3%.  Obveznici poreza na potrošnju jesu pravne i fizičke osobe koje pružaju ugostiteljske usluge na području Općine Stubičke Toplice. U izvještajnom razdoblju naplaćeno je 14.801,79 eura prihoda. Usporedbom sa istim razdobljem 2025. godine ostvareno je za 6,90% manje ove vrste prihoda. Ostvarenje prihoda ovisi o potrošnji  alkoholnih pića u ugostiteljskim objektima, a sukladno tome i osnovici na koju se obračunava porezna stopa.  </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iz inozemstva i od subjekata unutar općeg proračuna (šifre 631+632+633+634+635+636+637+638+639)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1.072.068,39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1.262.376,47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117,8</w:t>
            </w:r>
          </w:p>
        </w:tc>
      </w:tr>
    </w:tbl>
    <w:p>
      <w:pPr>
        <w:spacing w:before="0" w:after="0"/>
      </w:pPr>
    </w:p>
    <w:p>
      <w:r>
        <w:t xml:space="preserve">U proračunu se planiraju prihodi od pomoći u iznosu 4.950.590,00 eura, a ostvareno je 1.262.376,47 eura ili 25,50% u odnosu na plan,  a usporedbom s prethodnom godinom ostvareno je za 17,80% više prihoda. Najznačajniji prihod je pomoć iz državnog proračuna temeljem prijenosa EU sredstava za projekt rekonstrukcija i opremanje Osnovne škole Vladimir Bosnar Stubičke Toplice i izgradnja školske sportske dvorane.</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proračunu i izvanproračunskim korisnicima iz drugih proračuna (šifre 6331+6332)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67.635,87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54.804,10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81,0</w:t>
            </w:r>
          </w:p>
        </w:tc>
      </w:tr>
    </w:tbl>
    <w:p>
      <w:pPr>
        <w:spacing w:before="0" w:after="0"/>
      </w:pPr>
    </w:p>
    <w:p>
      <w:r>
        <w:t xml:space="preserve">U izvještajnom razdoblju ostvareno je 54.804,10 eura. U usporedbi s istim izvještajnim razdobljem protekle godine ostvareno je za 19,00% manje  prihoda ove vrste. Odstupanje se desilo radi toga što je 2025. godine, uz preostale pomoći knjižene na ovoj skupini, ostvaren prihod iz državnog proračuna za financiranje projekta rekonstrukcija dječjeg igrališta u centru.</w:t>
      </w:r>
    </w:p>
    <w:p>
      <w:r>
        <w:t xml:space="preserve">U izvještajnom razdoblju ostvareno je 32.683,00 eura prihoda za fiskalnu održivost dječjih vrtića. </w:t>
      </w:r>
    </w:p>
    <w:p>
      <w:r>
        <w:t xml:space="preserve">Iz županijskog proračuna ostvareno je ukupno 7.037,68 eura prihoda za sufinanciranje prijevoza učenika osnovne škole.</w:t>
      </w:r>
    </w:p>
    <w:p>
      <w:r>
        <w:t xml:space="preserve">Pomoći iz proračuna Grada Donja Stubica i Općine Gornja Stubica ostvarene su refundacijom troškova temeljem sporazuma o zajedničkom obavljanju poslova komunalnog redara putem zajedničkog službenika iznose 15.083,42 eura. </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temeljem prijenosa EU sredstava (šifre 6381+6382)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966.555,71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1.165.847,24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120,6</w:t>
            </w:r>
          </w:p>
        </w:tc>
      </w:tr>
    </w:tbl>
    <w:p>
      <w:pPr>
        <w:spacing w:before="0" w:after="0"/>
      </w:pPr>
    </w:p>
    <w:p>
      <w:r>
        <w:t xml:space="preserve">Ostvareno je 1.165.847,24 eura prihoda temeljem odobrenih Zahtjeva za nadoknadom sredstava za projekt rekonstrukcija i dogradnja zgrade osnovne škole i izgradnja školske sportske dvorane.  Ugovor o dodjeli bespovratnih sredstava sklopljen je sa tijelom nadležnim za komponentu 3. Obrazovanje, znanost i istraživanje – Ministarstvom znanosti obrazovanja i mladih za projekte koji se financiraju iz mehanizma za oporavak i otpornost. U usporedbi sa 2025. godinom ostvareno je više za 20,60% jer ostvarenje ovisi o podnesenim i odobrenim Zahtjevima za nadoknadom sredstava.</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financijske imovine (šifre 6412 do 6419)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1.663,47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3.149,22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189,3</w:t>
            </w:r>
          </w:p>
        </w:tc>
      </w:tr>
    </w:tbl>
    <w:p>
      <w:pPr>
        <w:spacing w:before="0" w:after="0"/>
      </w:pPr>
    </w:p>
    <w:p>
      <w:r>
        <w:t xml:space="preserve">U 2026. godini ostvareno je ukupno 3.149,22 eura prihoda. U usporedbi sa proteklom godinom veći su za 89,30%. Povećanje se odnosi na prihod od zateznih kamata obračunatih na zakašnjela plaćanja u iznosu od 3.139,91 eura. Ostvareno je 9,31 eura prihoda od kamata na depozite po viđenju.  </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upravnih i administrativnih pristojbi, pristojbi po posebnim propisima i naknada (šifre 651+652+653+654)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85.698,89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199.436,06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232,7</w:t>
            </w:r>
          </w:p>
        </w:tc>
      </w:tr>
    </w:tbl>
    <w:p>
      <w:pPr>
        <w:spacing w:before="0" w:after="0"/>
      </w:pPr>
    </w:p>
    <w:p>
      <w:r>
        <w:t xml:space="preserve">Planirano je za 2026. godinu 303.100,00 eura, a u izvještajnom razdoblju ostvareno je 199.436,06 eura prihoda ili 65,80% u odnosu na plan. U usporedbi sa 2025. godinom ostvareno je za 132,70% više prihoda radi povećanje vrijednosti boda za obračun komunalne naknade. </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Komunalni doprinosi i naknade (šifre 6531 do 6533)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67.899,09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185.322,96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272,9</w:t>
            </w:r>
          </w:p>
        </w:tc>
      </w:tr>
    </w:tbl>
    <w:p>
      <w:pPr>
        <w:spacing w:before="0" w:after="0"/>
      </w:pPr>
    </w:p>
    <w:p>
      <w:r>
        <w:t xml:space="preserve">Ostvareno je ukupno 185.322,96 eura prihoda. Ostvareno je 5.923,21 eura prihoda od komunalnog doprinosa, u odnosu na 2025. godinu to je manje za 63,90%. Ostvarenje prihoda ove vrste ovisi o broju izdanih rješenja za obračun komunalnog doprinosa u postupku gradnje poslovnih, stambenih te pomoćnih objekata. Prihod od komunalne naknade za poslovni i stambeni prostor ostvaren je u iznosu od 174.649,75 eura te je u odnosu na 2025. godinu ostvaren veći prihod za 308,80% radi povećanje vrijednosti boda za obračun komunalne naknade i ažuriranih podataka u evidenciji obveznika plaćanja komunalne naknade. Prihod od naplaćenih priključaka na lokalni vodovod ostvaren je u iznosu od 4.750,00 eura i manji je u odnosu na isto izvještajno razdoblje 2025. godine za 45,70% jer prihod ovisi o broju podnesenih zahtjeva, a ove godine to je bilo manje.</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681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Kazne i upravne mjere (šifre 6811 do 6819)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4.061,30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9.189,48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226,3</w:t>
            </w:r>
          </w:p>
        </w:tc>
      </w:tr>
    </w:tbl>
    <w:p>
      <w:pPr>
        <w:spacing w:before="0" w:after="0"/>
      </w:pPr>
    </w:p>
    <w:p>
      <w:r>
        <w:t xml:space="preserve">Ostvareno je ukupno 9.189,48 eura prihoda od naplate novčane kazne te je u odnosu na 2025. godinu ostvareno za 126,30% više prihoda ove vrste. Ostvaren je prihod od naplaćene novčane kazne u iznosu od 7.963,37 eura te 1.226,11 eura prihoda od naplaćenih troškova izravne naplate potraživanja.</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1.871.982,78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1.967.217,47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105,1</w:t>
            </w:r>
          </w:p>
        </w:tc>
      </w:tr>
    </w:tbl>
    <w:p>
      <w:pPr>
        <w:spacing w:before="0" w:after="0"/>
      </w:pPr>
    </w:p>
    <w:p>
      <w:r>
        <w:t xml:space="preserve">Planirani su u iznosu od 2.505.190,00 eura, a u izvještajnom razdoblju realizirano je 1.967.217,47 eura ili 78,53%. Usporedbom sa 2025. godinom, na razini razreda, nema odstupanja.</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rashodi za zaposlene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22.426,69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32.244,24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143,8</w:t>
            </w:r>
          </w:p>
        </w:tc>
      </w:tr>
    </w:tbl>
    <w:p>
      <w:pPr>
        <w:spacing w:before="0" w:after="0"/>
      </w:pPr>
    </w:p>
    <w:p>
      <w:r>
        <w:t xml:space="preserve">Utrošeno je 32.244,24 eura, a u odnosu na prethodnu godinu rashod je veći za 43,80% radi toga što su u istom izvještajnom razdoblju 2026. godine isplaćene dvije jubilarna nagrade te nagrade za rezultate rada.</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Materijalni rashodi (šifre 321+322+323+324+325+329)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533.741,84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615.944,73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115,4</w:t>
            </w:r>
          </w:p>
        </w:tc>
      </w:tr>
    </w:tbl>
    <w:p>
      <w:pPr>
        <w:spacing w:before="0" w:after="0"/>
      </w:pPr>
    </w:p>
    <w:p>
      <w:r>
        <w:t xml:space="preserve">Planirani su u iznosu od 745.320,00 eura, a realizirano je 615.944,73 eura ili 82,65% u odnosu na plan. Usporedbom sa 2025. godinom, u izvještajnom razdoblju 2026. godine realizirano je za 15,40% više. Veći su rashodi za materijal i energiju i rashodi za usluge.  </w:t>
      </w:r>
    </w:p>
    <w:p/>
    <w:p>
      <w:pPr>
        <w:jc w:val="center"/>
        <w:pStyle w:val="Normal"/>
        <w:spacing w:line="240" w:lineRule="auto"/>
        <w:keepNext/>
      </w:pPr>
      <w:r>
        <w:rPr>
          <w:sz w:val="28"/>
          <w:rFonts w:ascii="Times New Roman" w:hAnsi="Times New Roman"/>
        </w:rPr>
        <w:t xml:space="preserve">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materijal i energiju (šifre 3221 do 3227)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42.137,64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51.767,25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122,9</w:t>
            </w:r>
          </w:p>
        </w:tc>
      </w:tr>
    </w:tbl>
    <w:p>
      <w:pPr>
        <w:spacing w:before="0" w:after="0"/>
      </w:pPr>
    </w:p>
    <w:p>
      <w:r>
        <w:t xml:space="preserve">Realizirani su u iznosu 51.767,25 eura. U usporedbi s međugodišnjim razdobljem rashodi su veći za 22,90%, a rashodi su veći radi više rashoda za energiju, uredski materijal i ostale materijalne rashode, materijal za tekuće i investicijsko održavanje te za nabavu radne odjeće i obuće namještenicima.</w:t>
      </w:r>
    </w:p>
    <w:p/>
    <w:p>
      <w:pPr>
        <w:jc w:val="center"/>
        <w:pStyle w:val="Normal"/>
        <w:spacing w:line="240" w:lineRule="auto"/>
        <w:keepNext/>
      </w:pPr>
      <w:r>
        <w:rPr>
          <w:sz w:val="28"/>
          <w:rFonts w:ascii="Times New Roman" w:hAnsi="Times New Roman"/>
        </w:rPr>
        <w:t xml:space="preserve">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tekućeg i investicijskog održavanja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254.979,38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300.355,37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117,8</w:t>
            </w:r>
          </w:p>
        </w:tc>
      </w:tr>
    </w:tbl>
    <w:p>
      <w:pPr>
        <w:spacing w:before="0" w:after="0"/>
      </w:pPr>
    </w:p>
    <w:p>
      <w:r>
        <w:t xml:space="preserve">Evidentirano je 300.355,37 eura, povećanje u odnosu na prethodnu godinu je za 17,80%, a odnosi na povećane rashode za održavanje vodovoda, veći su rashodi za čišćenje snijega i tekućeg održavanja parkova. Također su evidentirani rashodi u iznosu 29.676,75 eura za tekuće održavanja prostora sanitarnog čvora dječjeg vrtića radi poboljšanja materijalnih uvjeta u dječjem vrtiću, a kojih protekle godine nije bilo.</w:t>
      </w:r>
    </w:p>
    <w:p/>
    <w:p>
      <w:pPr>
        <w:jc w:val="center"/>
        <w:pStyle w:val="Normal"/>
        <w:spacing w:line="240" w:lineRule="auto"/>
        <w:keepNext/>
      </w:pPr>
      <w:r>
        <w:rPr>
          <w:sz w:val="28"/>
          <w:rFonts w:ascii="Times New Roman" w:hAnsi="Times New Roman"/>
        </w:rPr>
        <w:t xml:space="preserve">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Komunalne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38.354,43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29.899,26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78,0</w:t>
            </w:r>
          </w:p>
        </w:tc>
      </w:tr>
    </w:tbl>
    <w:p>
      <w:pPr>
        <w:spacing w:before="0" w:after="0"/>
      </w:pPr>
    </w:p>
    <w:p>
      <w:r>
        <w:t xml:space="preserve">Evidentirano je 29.899,26 eura, u izvještajnom razdoblju manji su rashodi za komunalne usluge za 22,00% radi manjih rashoda na opskrbu vodom. </w:t>
      </w:r>
    </w:p>
    <w:p/>
    <w:p>
      <w:pPr>
        <w:jc w:val="center"/>
        <w:pStyle w:val="Normal"/>
        <w:spacing w:line="240" w:lineRule="auto"/>
        <w:keepNext/>
      </w:pPr>
      <w:r>
        <w:rPr>
          <w:sz w:val="28"/>
          <w:rFonts w:ascii="Times New Roman" w:hAnsi="Times New Roman"/>
        </w:rPr>
        <w:t xml:space="preserve">Bilješka 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Zakupnine i najamnine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4.596,86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9.955,11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216,6</w:t>
            </w:r>
          </w:p>
        </w:tc>
      </w:tr>
    </w:tbl>
    <w:p>
      <w:pPr>
        <w:spacing w:before="0" w:after="0"/>
      </w:pPr>
    </w:p>
    <w:p>
      <w:r>
        <w:t xml:space="preserve">Evidentirano je 9.955,11 eura, a rashod je veći za 116,60% radi evidentiranja rashoda zakupnine i najamnine za prijevozno sredstvo u iznosu od 5.547,00 eura. </w:t>
      </w:r>
    </w:p>
    <w:p/>
    <w:p>
      <w:pPr>
        <w:jc w:val="center"/>
        <w:pStyle w:val="Normal"/>
        <w:spacing w:line="240" w:lineRule="auto"/>
        <w:keepNext/>
      </w:pPr>
      <w:r>
        <w:rPr>
          <w:sz w:val="28"/>
          <w:rFonts w:ascii="Times New Roman" w:hAnsi="Times New Roman"/>
        </w:rPr>
        <w:t xml:space="preserve">Bilješka 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Zdravstvene i veterinarske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6.729,50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8.258,45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122,7</w:t>
            </w:r>
          </w:p>
        </w:tc>
      </w:tr>
    </w:tbl>
    <w:p>
      <w:pPr>
        <w:spacing w:before="0" w:after="0"/>
      </w:pPr>
    </w:p>
    <w:p>
      <w:r>
        <w:t xml:space="preserve">Evidentirano je 8.258,45 eura, a povećani su rashodi za zdravstvene i veterinarske usluge radi zbrinjavanja više životinja te su evidentirani rashodi za obvezni i preventivni liječnički pregled zaposlenika. </w:t>
      </w:r>
    </w:p>
    <w:p/>
    <w:p>
      <w:pPr>
        <w:jc w:val="center"/>
        <w:pStyle w:val="Normal"/>
        <w:spacing w:line="240" w:lineRule="auto"/>
        <w:keepNext/>
      </w:pPr>
      <w:r>
        <w:rPr>
          <w:sz w:val="28"/>
          <w:rFonts w:ascii="Times New Roman" w:hAnsi="Times New Roman"/>
        </w:rPr>
        <w:t xml:space="preserve">Bilješka 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Intelektualne i osobne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18.179,54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35.615,88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195,9</w:t>
            </w:r>
          </w:p>
        </w:tc>
      </w:tr>
    </w:tbl>
    <w:p>
      <w:pPr>
        <w:spacing w:before="0" w:after="0"/>
      </w:pPr>
    </w:p>
    <w:p>
      <w:r>
        <w:t xml:space="preserve">Povećani su rashodi za intelektualne usluge za 95,90% radi toga što su realizirani ugovori o djelu i autorski honorari za izvođenje programa na manifestacijama, sve u vrijednosti 7.015,64 eura, izvršeni su rashodi za usluge studentskog servisa u iznosu od 2.662,83 eura te rashodi za ostale intelektualne usluge u iznosu od 25.937,41 eura (izvođenje predstava na organiziranim manifestacijama, usluge provođenja zaštite na radu, konzultantske usluge u postupku uvođenja riznice, izrada progama lovnogospodarske osnove, izrada elaborata za ispitivanje električnih instalacija, izrada prometng elaborata smirivanja prometa na cestama, izrada evidencije imovine i unos podataka u središnji registar, provođenje postupka objedinjene javne  nabave, prijava projekata na natječaje). </w:t>
      </w:r>
    </w:p>
    <w:p/>
    <w:p>
      <w:pPr>
        <w:jc w:val="center"/>
        <w:pStyle w:val="Normal"/>
        <w:spacing w:line="240" w:lineRule="auto"/>
        <w:keepNext/>
      </w:pPr>
      <w:r>
        <w:rPr>
          <w:sz w:val="28"/>
          <w:rFonts w:ascii="Times New Roman" w:hAnsi="Times New Roman"/>
        </w:rPr>
        <w:t xml:space="preserve">Bilješka 22.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Računalne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23.764,25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30.848,71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129,8</w:t>
            </w:r>
          </w:p>
        </w:tc>
      </w:tr>
    </w:tbl>
    <w:p>
      <w:pPr>
        <w:spacing w:before="0" w:after="0"/>
      </w:pPr>
    </w:p>
    <w:p>
      <w:r>
        <w:t xml:space="preserve">Povećani su rashodi za računalne usluge radi povećanja cijene i količine održavanja računalnih programa, evidentirano je 30.848,71 eura, u odnosu na prethodnu godinu povećanje je za 29,80%.</w:t>
      </w:r>
    </w:p>
    <w:p/>
    <w:p>
      <w:pPr>
        <w:jc w:val="center"/>
        <w:pStyle w:val="Normal"/>
        <w:spacing w:line="240" w:lineRule="auto"/>
        <w:keepNext/>
      </w:pPr>
      <w:r>
        <w:rPr>
          <w:sz w:val="28"/>
          <w:rFonts w:ascii="Times New Roman" w:hAnsi="Times New Roman"/>
        </w:rPr>
        <w:t xml:space="preserve">Bilješka 23.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30.516,13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40.507,00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132,7</w:t>
            </w:r>
          </w:p>
        </w:tc>
      </w:tr>
    </w:tbl>
    <w:p>
      <w:pPr>
        <w:spacing w:before="0" w:after="0"/>
      </w:pPr>
    </w:p>
    <w:p>
      <w:r>
        <w:t xml:space="preserve">Evidentirano je 40.507,00 eura, povećanje u odnosu na prethodnu godinu je za 32,70%.  Povećanje se odnosi na rashode ostalih nespomenutih usluga,  naročito usluga naplate 1% prihoda od poreza na dohodak jer je osnovica za obračun veća radi više naplaćenog prihoda od poreza na dohodak te rashode za uslugu logističke podrške prilikom održavanja manifestacija.</w:t>
      </w:r>
    </w:p>
    <w:p/>
    <w:p>
      <w:pPr>
        <w:jc w:val="center"/>
        <w:pStyle w:val="Normal"/>
        <w:spacing w:line="240" w:lineRule="auto"/>
        <w:keepNext/>
      </w:pPr>
      <w:r>
        <w:rPr>
          <w:sz w:val="28"/>
          <w:rFonts w:ascii="Times New Roman" w:hAnsi="Times New Roman"/>
        </w:rPr>
        <w:t xml:space="preserve">Bilješka 24.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Premije osiguranja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3.248,34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6.234,78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191,9</w:t>
            </w:r>
          </w:p>
        </w:tc>
      </w:tr>
    </w:tbl>
    <w:p>
      <w:pPr>
        <w:spacing w:before="0" w:after="0"/>
      </w:pPr>
    </w:p>
    <w:p>
      <w:r>
        <w:t xml:space="preserve">Evidentirano je 6.324,78 eura, povećanje u odnosu na prethodnu godinu je za 91,90% radi više rashoda premije osiguranja prijevoznih sredstava i ostale imovine. </w:t>
      </w:r>
    </w:p>
    <w:p/>
    <w:p>
      <w:pPr>
        <w:jc w:val="center"/>
        <w:pStyle w:val="Normal"/>
        <w:spacing w:line="240" w:lineRule="auto"/>
        <w:keepNext/>
      </w:pPr>
      <w:r>
        <w:rPr>
          <w:sz w:val="28"/>
          <w:rFonts w:ascii="Times New Roman" w:hAnsi="Times New Roman"/>
        </w:rPr>
        <w:t xml:space="preserve">Bilješka 25.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Članarine i norme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1.168,00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3.785,00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324,1</w:t>
            </w:r>
          </w:p>
        </w:tc>
      </w:tr>
    </w:tbl>
    <w:p>
      <w:pPr>
        <w:spacing w:before="0" w:after="0"/>
      </w:pPr>
    </w:p>
    <w:p>
      <w:r>
        <w:t xml:space="preserve">U izvještajnom razdoblju utrošeno je 3.785,00 eura. U usporedbi sa istim razdobljem prethodne godine zabilježeni su veći rashodi za 224,10%  radi povećanog rashoda za članarinu LAG-u Zeleni bregi i Eko škole za osnovnu školu i Dječji vrtić.</w:t>
      </w:r>
    </w:p>
    <w:p/>
    <w:p>
      <w:pPr>
        <w:jc w:val="center"/>
        <w:pStyle w:val="Normal"/>
        <w:spacing w:line="240" w:lineRule="auto"/>
        <w:keepNext/>
      </w:pPr>
      <w:r>
        <w:rPr>
          <w:sz w:val="28"/>
          <w:rFonts w:ascii="Times New Roman" w:hAnsi="Times New Roman"/>
        </w:rPr>
        <w:t xml:space="preserve">Bilješka 26.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Kamate za primljene kredite i zajmove od kreditnih i ostalih financijskih institucija u javnom sektoru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978,94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4.261,45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435,3</w:t>
            </w:r>
          </w:p>
        </w:tc>
      </w:tr>
    </w:tbl>
    <w:p>
      <w:pPr>
        <w:spacing w:before="0" w:after="0"/>
      </w:pPr>
    </w:p>
    <w:p>
      <w:r>
        <w:t xml:space="preserve">Realizacija u izvještajnom razdoblju je 4.261,45 eura. Povećanje u odnosu na izvještajno razdoblje prethodne godine je za 335,30% radi toga što je evidentiran rashod u iznosu od 3.702,33 eura za interkalarnu kamatu za iskorišteni dio kredita za financiranje projekta rekonstrukcija i dogradnja zgrade osnovne škole i izgradnja školske sportske dvorane i redovna kamata za već postojeći kredit u iznosu od 559,12 eura koja je manja u odnosu na proteklu godinu.  </w:t>
      </w:r>
    </w:p>
    <w:p/>
    <w:p>
      <w:pPr>
        <w:jc w:val="center"/>
        <w:pStyle w:val="Normal"/>
        <w:spacing w:line="240" w:lineRule="auto"/>
        <w:keepNext/>
      </w:pPr>
      <w:r>
        <w:rPr>
          <w:sz w:val="28"/>
          <w:rFonts w:ascii="Times New Roman" w:hAnsi="Times New Roman"/>
        </w:rPr>
        <w:t xml:space="preserve">Bilješka 27.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Bankarske usluge i usluge platnog prometa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1.672,09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2.601,22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155,6</w:t>
            </w:r>
          </w:p>
        </w:tc>
      </w:tr>
    </w:tbl>
    <w:p>
      <w:pPr>
        <w:spacing w:before="0" w:after="0"/>
      </w:pPr>
    </w:p>
    <w:p>
      <w:r>
        <w:t xml:space="preserve">Realizacija u izvještajnom razdoblju je 2.601,22 eura, a u odnosu na isto izvještajno razdoblje 2025. godine povećanje je za 55,60% radi toga što je općina od 01. siječnja 2026. godine u sustavu pune riznice zajedno sa dva proračunska korisnika te se poslovanje platnog prometa obavlja putem jedinstvenog transakcijskog računa radi čega je došlo do povećanog broja transakcija platnog prometa pa tako i iznosa naknade za platni promet. </w:t>
      </w:r>
    </w:p>
    <w:p/>
    <w:p>
      <w:pPr>
        <w:jc w:val="center"/>
        <w:pStyle w:val="Normal"/>
        <w:spacing w:line="240" w:lineRule="auto"/>
        <w:keepNext/>
      </w:pPr>
      <w:r>
        <w:rPr>
          <w:sz w:val="28"/>
          <w:rFonts w:ascii="Times New Roman" w:hAnsi="Times New Roman"/>
        </w:rPr>
        <w:t xml:space="preserve">Bilješka 28.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drugom proračunu i izvanproračunskim korisnicima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74.593,52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56.869,42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76,2</w:t>
            </w:r>
          </w:p>
        </w:tc>
      </w:tr>
    </w:tbl>
    <w:p>
      <w:pPr>
        <w:spacing w:before="0" w:after="0"/>
      </w:pPr>
    </w:p>
    <w:p>
      <w:r>
        <w:t xml:space="preserve">Rashod iznosi 56.869,42 eura i manji je u odnosu na 2025. godinu za 23,80% radi toga što su u 2025. godini evidentirani rashodi za provedbu lokalnih izbora kojih ove godine nije bilo.</w:t>
      </w:r>
    </w:p>
    <w:p/>
    <w:p>
      <w:pPr>
        <w:jc w:val="center"/>
        <w:pStyle w:val="Normal"/>
        <w:spacing w:line="240" w:lineRule="auto"/>
        <w:keepNext/>
      </w:pPr>
      <w:r>
        <w:rPr>
          <w:sz w:val="28"/>
          <w:rFonts w:ascii="Times New Roman" w:hAnsi="Times New Roman"/>
        </w:rPr>
        <w:t xml:space="preserve">Bilješka 29.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Prijenosi proračunskim korisnicima iz nadležnog proračuna za financiranje redovne djelatnosti (šifre 3672 do 3674)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462.493,49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531.257,59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114,9</w:t>
            </w:r>
          </w:p>
        </w:tc>
      </w:tr>
    </w:tbl>
    <w:p>
      <w:pPr>
        <w:spacing w:before="0" w:after="0"/>
      </w:pPr>
    </w:p>
    <w:p>
      <w:r>
        <w:t xml:space="preserve">U izvještajnom razdoblju izvršeni su prijenosi proračunskom korisniku Dječji vrtić u iznosu 495.654,60 eura za financiranje rashoda poslovanja i proračunskom korisniku Općinska knjižnica Stubičke Toplice u iznosu 35.602,99 eura, ukupno proračunskim korisnicima 531.257,59 eura. U odnosu na isto razdoblje 2025. godine rashodi su veći za 14,90% zato što je povećan broj djece za koje se sufinancira boravak kao i broj zaposlenih u dječjem vrtiću, a u skladu s tim povećani su rashodi za plaće koje se financiraju iz nadležnog proračuna. Veći su rashodi koji se odnose na prijenos Općinskoj knjižnici iz razloga povećanja osnovice za obračun plaće budući da se ista financira iz nadležnog proračuna, a također je bilo isplaćeno više materijalnih rashoda za financiranje redovne knjižnične djelatnosti i za nabavu nefinancijske imovine (knjige i namještaj).</w:t>
      </w:r>
    </w:p>
    <w:p>
      <w:r>
        <w:t xml:space="preserve">Općinskoj knjižnici su isplaćena sredstva financiranje rashoda poslovanja u iznosu od 32.018,32 eura te 3.584,67 eura za financiranje rashoda za nabavu nefinancijske imovine.</w:t>
      </w:r>
    </w:p>
    <w:p>
      <w:r>
        <w:t xml:space="preserve"> </w:t>
      </w:r>
    </w:p>
    <w:p/>
    <w:p>
      <w:pPr>
        <w:jc w:val="center"/>
        <w:pStyle w:val="Normal"/>
        <w:spacing w:line="240" w:lineRule="auto"/>
        <w:keepNext/>
      </w:pPr>
      <w:r>
        <w:rPr>
          <w:sz w:val="28"/>
          <w:rFonts w:ascii="Times New Roman" w:hAnsi="Times New Roman"/>
        </w:rPr>
        <w:t xml:space="preserve">Bilješka 30.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Ceste, željeznice i ostali prometni objekti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76.932,23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58.348,68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75,8</w:t>
            </w:r>
          </w:p>
        </w:tc>
      </w:tr>
    </w:tbl>
    <w:p>
      <w:pPr>
        <w:spacing w:before="0" w:after="0"/>
      </w:pPr>
    </w:p>
    <w:p>
      <w:r>
        <w:t xml:space="preserve">Realizirano je 58.348,68 eura. U odnosu na isto izvještajno razdoblje 2025. godine rashod je manji za 24,20%. Razlog odstupanja u odnosu na isto izvještajno razdoblje 2025. godine je taj što je u izvještajnom razdoblju prošle godine rashod za modernizaciju i asfaltiranje nerazvrstanih cesta bio veći zbog veće količine dok je ove godine za navedeni namjenu utrošeno 42.672,48 eura. Također je u izvještajnom razdoblju izrađen projekt za sanaciju šumske prometnice u vrijednosti od 7.250,00 eura, dok za izgradnju parkirališta u centru rashod temeljem privremene građevinske situacije iznosi 8.426,20 eura.  </w:t>
      </w:r>
    </w:p>
    <w:p/>
    <w:p>
      <w:pPr>
        <w:jc w:val="center"/>
        <w:pStyle w:val="Normal"/>
        <w:spacing w:line="240" w:lineRule="auto"/>
        <w:keepNext/>
      </w:pPr>
      <w:r>
        <w:rPr>
          <w:sz w:val="28"/>
          <w:rFonts w:ascii="Times New Roman" w:hAnsi="Times New Roman"/>
        </w:rPr>
        <w:t xml:space="preserve">Bilješka 31.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građevinski objekti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96.901,09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234.739,73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242,2</w:t>
            </w:r>
          </w:p>
        </w:tc>
      </w:tr>
    </w:tbl>
    <w:p>
      <w:pPr>
        <w:spacing w:before="0" w:after="0"/>
      </w:pPr>
    </w:p>
    <w:p>
      <w:r>
        <w:t xml:space="preserve">Utrošeno je 234.739,73 eura, a u usporedbi sa proteklom godinom to je za 142,20% više radi izvedenih radova na uređenju okoliša pored novoizgrađene školske sportske dvorane i dograđene osnovne škole, u sklopu projekta u vrijednosti 196.045,98 eura, izgrađena je mreža javne rasvjete na lokacijama gdje nije bila, a rashod iznosi 26.021,25 eura, za radove izgradnje kanala oborinske odvodnje utrošeno je 12.533,75 eura.</w:t>
      </w:r>
    </w:p>
    <w:p/>
    <w:p>
      <w:pPr>
        <w:jc w:val="center"/>
        <w:pStyle w:val="Normal"/>
        <w:spacing w:line="240" w:lineRule="auto"/>
        <w:keepNext/>
      </w:pPr>
      <w:r>
        <w:rPr>
          <w:sz w:val="28"/>
          <w:rFonts w:ascii="Times New Roman" w:hAnsi="Times New Roman"/>
        </w:rPr>
        <w:t xml:space="preserve">Bilješka 32.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Postrojenja i oprema (šifre 4221 do 4228)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65.633,43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286.062,38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435,8</w:t>
            </w:r>
          </w:p>
        </w:tc>
      </w:tr>
    </w:tbl>
    <w:p>
      <w:pPr>
        <w:spacing w:before="0" w:after="0"/>
      </w:pPr>
    </w:p>
    <w:p>
      <w:r>
        <w:t xml:space="preserve">U izvještajnom razdoblju 2026. godine utrošeno je ukupno 286.062,38 eura za nabavu opreme i strojeva za potrebe vlastitog pogona, upravnog odjela te proračunskog korisnika. Također je nabavljena oprema za novoizgrađenu zgradu osnovne škole i školsku sportsku dvoranu. Odnosi se na opremanje učionica namještajem, računalima i računalnom opremom, komunikacijskom opremom, sportskom opremom te uređajima, strojevima i opremom za ostale namjene. Usporedbom sa istim izvještajnim razdobljem 2025. godine rashod je veći za 335,80% radi nabave spomenute opreme. </w:t>
      </w:r>
    </w:p>
    <w:p/>
    <w:p>
      <w:pPr>
        <w:jc w:val="center"/>
        <w:pStyle w:val="Normal"/>
        <w:spacing w:line="240" w:lineRule="auto"/>
        <w:keepNext/>
      </w:pPr>
      <w:r>
        <w:rPr>
          <w:sz w:val="28"/>
          <w:rFonts w:ascii="Times New Roman" w:hAnsi="Times New Roman"/>
        </w:rPr>
        <w:t xml:space="preserve">Bilješka 33.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Prijevozna sredstva u cestovnom prometu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Rashod iznosi 1.200,00 eura, a odnosi se na nabavu auto prikolice za službeni auto. Takvog rashoda u 2025. godini nije bilo.</w:t>
      </w:r>
    </w:p>
    <w:p/>
    <w:p>
      <w:pPr>
        <w:jc w:val="center"/>
        <w:pStyle w:val="Normal"/>
        <w:spacing w:line="240" w:lineRule="auto"/>
        <w:keepNext/>
      </w:pPr>
      <w:r>
        <w:rPr>
          <w:sz w:val="28"/>
          <w:rFonts w:ascii="Times New Roman" w:hAnsi="Times New Roman"/>
        </w:rPr>
        <w:t xml:space="preserve">Bilješka 34.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Nematerijalna proizvedena imovina (šifre 4261 do 4264)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10.714,15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21.363,75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199,4</w:t>
            </w:r>
          </w:p>
        </w:tc>
      </w:tr>
    </w:tbl>
    <w:p>
      <w:pPr>
        <w:spacing w:before="0" w:after="0"/>
      </w:pPr>
    </w:p>
    <w:p>
      <w:r>
        <w:t xml:space="preserve">Utrošeno je ukupno 21.363,75 eura. Usporedbom sa 2025. godinom rashod je veći za 99,40% radi više evidentiranog rashoda za izradu izmjena i dopuna prostornog plana. Sredstva u iznosu od 6.701,25 eura su utrošena za nabavu računalnog programa koji je potreban za redovan rad upravnog odjela kako bi se poslovni procesi uskladili sa novim zakonskim odredbama (ulaz u sustav pune riznice sa proračunskim korisnicima i spajanje sa OIB registrom državne informacijske infrastrukture). Također je u tijeku postupak izmjena i dopuna prostornog plana te su za izradu istog realizirani rashodi u iznosu od 13.100,00 eura. Rashod za energetski certifikat za osnovnu školu iznosi 1.562,50 eura. </w:t>
      </w:r>
    </w:p>
    <w:p/>
    <w:p>
      <w:pPr>
        <w:jc w:val="center"/>
        <w:pStyle w:val="Normal"/>
        <w:spacing w:line="240" w:lineRule="auto"/>
        <w:keepNext/>
      </w:pPr>
      <w:r>
        <w:rPr>
          <w:sz w:val="28"/>
          <w:rFonts w:ascii="Times New Roman" w:hAnsi="Times New Roman"/>
        </w:rPr>
        <w:t xml:space="preserve">Bilješka 35.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dodatna ulaganja na nefinancijskoj imovini (šifre 451 do 454)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643.073,26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1.114.697,45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173,3</w:t>
            </w:r>
          </w:p>
        </w:tc>
      </w:tr>
    </w:tbl>
    <w:p>
      <w:pPr>
        <w:spacing w:before="0" w:after="0"/>
      </w:pPr>
    </w:p>
    <w:p>
      <w:r>
        <w:t xml:space="preserve">Utrošeno je  1.114.697,45 eura, a u odnosu na isto izvještajno razdoblje 2025. godine, rashodi su veći za 73,30% radi toga jer se tijekom 2026. godine realizira provedba projekta rekonstrukcije i dogradnje zgrade osnovne škole. Rashodi se odnose na radove te projektantski i stručni nadzor nad izgradnjom. </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36.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Međusobne obveze subjekata općeg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261.964,07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U izvještajnom razdoblju ukupno je evidentirano je 261.964,07 eura koji se odnose na povećanje obveza nadležnog proračuna za vlastite i namjenske prihode i primitke proračunskih korisnika uplaćene u proračun u iznosu od 167.291,26 eura i obveze prema ostalim subjektima unutar općeg proračuna u iznosu od 94.672,81 eura.</w:t>
      </w:r>
    </w:p>
    <w:p/>
    <w:p>
      <w:pPr>
        <w:jc w:val="center"/>
        <w:pStyle w:val="Normal"/>
        <w:spacing w:line="240" w:lineRule="auto"/>
        <w:keepNext/>
      </w:pPr>
      <w:r>
        <w:rPr>
          <w:sz w:val="28"/>
          <w:rFonts w:ascii="Times New Roman" w:hAnsi="Times New Roman"/>
        </w:rPr>
        <w:t xml:space="preserve">Bilješka 37.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Međusobne obveze subjekata općeg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227.401,13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Evidentirano je 227.401,13 eura smanjenja obveza koje se odnose na obveze nadležnog proračuna za vlastite i namjenske prihode i primitke proračunskih korisnika uplaćene u proračun u iznosu od 140.782,95 eura dok se iznos od 86.618,18 eura odnosi se na smanjenje obveze prema ostalim subjektima unutar općeg proračuna.</w:t>
      </w:r>
    </w:p>
    <w:p/>
    <w:p>
      <w:pPr>
        <w:jc w:val="center"/>
        <w:pStyle w:val="Normal"/>
        <w:spacing w:line="240" w:lineRule="auto"/>
        <w:keepNext/>
      </w:pPr>
      <w:r>
        <w:rPr>
          <w:sz w:val="28"/>
          <w:rFonts w:ascii="Times New Roman" w:hAnsi="Times New Roman"/>
        </w:rPr>
        <w:t xml:space="preserve">Bilješka 38.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932.109,35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Obveze koje nisu podmirene do roka dospijeća odnose se na obveze prema dobavljačima  čiji računi dospijevaju uglavnom u kolovozu i rujnu 2026. godine te će isti biti podmireni tijekom listopada 2026. godine. Djelomično su podmirene obveze prema neprofitnim organizacijama (donacije) dok će ostatak obveze biti podmiren u narednom razdoblju. Neki računi su imali rok dospijeća krajem rujna 2026. godine, no pristigli su sa zakašnjenjem da bi bili podmireni do dospijeća. Također u roku dospijeća nije podmiren račun jer je u tijeku postupak rješavanja reklamacije na primljenu robu. </w:t>
      </w:r>
    </w:p>
    <w:p>
      <w:r>
        <w:t xml:space="preserve">Obveza na skupini konta D24 odnosi se na obvezu plaćanja obračunskih situacija za projekt rekonstrukcija i dogradnja zgrade osnovne škole i izgradnja školske sportske dvorane s opremanjem. Obveza nije podmirena u roku dospijeća radi toga što je izvor financiranja za navedene obračunske situacije prihod iz državnog proračuna temeljem prijenosa sredstava iz EU te se nakon kontrole i odobrenja zahtjeva za nadoknadom sredstava te uplatom novčanih sredstava na račun općine, odmah po primitku sredstava koje se očekuju se u listopadu 2026. godine, podmiruje obveza dobavljaču. </w:t>
      </w:r>
    </w:p>
    <w:p/>
    <w:p>
      <w:pPr>
        <w:jc w:val="center"/>
        <w:pStyle w:val="Normal"/>
        <w:spacing w:line="240" w:lineRule="auto"/>
        <w:keepNext/>
      </w:pPr>
      <w:r>
        <w:rPr>
          <w:sz w:val="28"/>
          <w:rFonts w:ascii="Times New Roman" w:hAnsi="Times New Roman"/>
        </w:rPr>
        <w:t xml:space="preserve">Bilješka 39.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Međusobne obveze subjekata općeg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46.024,99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Evidentirano je 46.024,99 eura obveza koji se odnose na obveze nadležnog proračuna za vlastite i namjenske prihode i primitke proračunskih korisnika uplaćene u proračun u iznosu od 37.820,43 eura. Iznos od 8.204,56 eura odnosi se na obveze prema ostalim subjektima unutar općeg proračuna.</w:t>
      </w:r>
    </w:p>
    <w:p/>
    <w:p>
      <w:pPr>
        <w:jc w:val="center"/>
        <w:pStyle w:val="Normal"/>
        <w:spacing w:line="240" w:lineRule="auto"/>
        <w:keepNext/>
      </w:pPr>
      <w:r>
        <w:rPr>
          <w:sz w:val="28"/>
          <w:rFonts w:ascii="Times New Roman" w:hAnsi="Times New Roman"/>
        </w:rPr>
        <w:t xml:space="preserve">Bilješka 40.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rashode poslovanja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ND23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170.775,98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Obveze za rashode poslovanja  iznose 170.775,98 eura i odnose se na:</w:t>
      </w:r>
    </w:p>
    <w:p>
      <w:r>
        <w:t xml:space="preserve">-       231 – obveze za zaposlene u iznosu 31.616,92 eura, odnose se na plaću i topli obrok za rujan 2026. godine koja je isplaćena 01. listopada 2026. godine </w:t>
      </w:r>
    </w:p>
    <w:p>
      <w:r>
        <w:t xml:space="preserve">-       232 - obveze za materijalne rashode u iznosu 67.429,79 eura s dospijećem u listopadu i studenom 2026. godine</w:t>
      </w:r>
    </w:p>
    <w:p>
      <w:r>
        <w:t xml:space="preserve">-       234 – obveze za financijske rashode u iznosu 1.261,41 eura s dospijećem u listopadu 2026. godine</w:t>
      </w:r>
    </w:p>
    <w:p>
      <w:r>
        <w:t xml:space="preserve">-       235 – obveze za subvencje u iznosu od 65,00 eura koje dospijeva u listopadu 2026. godine</w:t>
      </w:r>
    </w:p>
    <w:p>
      <w:r>
        <w:t xml:space="preserve">-       237 – obveze za naknade građanima i kućanstvima u iznosu 13.506,03 eura</w:t>
      </w:r>
    </w:p>
    <w:p>
      <w:r>
        <w:t xml:space="preserve">-       238 – obveze za donacije u iznosu od 10.173,36 koje dospijevaju do kraja 2026. godine</w:t>
      </w:r>
    </w:p>
    <w:p>
      <w:r>
        <w:t xml:space="preserve">-       239 - obveza za PDV za razdoblje 01.09.2026. do 30.09.2026. iznosi 46.723,47 eura i dospijeva 31.10.2026.</w:t>
      </w:r>
    </w:p>
    <w:p/>
    <w:p>
      <w:pPr>
        <w:jc w:val="center"/>
        <w:pStyle w:val="Normal"/>
        <w:spacing w:line="240" w:lineRule="auto"/>
        <w:keepNext/>
      </w:pPr>
      <w:r>
        <w:rPr>
          <w:sz w:val="28"/>
          <w:rFonts w:ascii="Times New Roman" w:hAnsi="Times New Roman"/>
        </w:rPr>
        <w:t xml:space="preserve">Bilješka 41.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nabavu nefinancijske imovine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ND24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596.647,57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Obveze za nabavu nefinancijske imovine iznose 596.647,57 eura s rokom dospijeća u listopadu i studenom 2026. godine.</w:t>
      </w:r>
    </w:p>
    <w:p/>
    <w:p>
      <w:pPr>
        <w:jc w:val="center"/>
        <w:pStyle w:val="Normal"/>
        <w:spacing w:line="240" w:lineRule="auto"/>
        <w:keepNext/>
      </w:pPr>
      <w:r>
        <w:rPr>
          <w:sz w:val="28"/>
          <w:rFonts w:ascii="Times New Roman" w:hAnsi="Times New Roman"/>
        </w:rPr>
        <w:t xml:space="preserve">Bilješka 42.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dio 25,26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financijsku imovinu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ND dio 25,26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254.401,38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Evidentirana je obveza u ukupnom iznosu 254.401,38 eura. Iznos od 29.401,38 eura odnosi se na otplatu glavnice kredita za modernizaciju javne rasvjete na području Općine Stubičke Toplice. Zadnja rata dospijeva na naplatu 31.08.2027. godine. Tijekom 2025. godine korišten je kredit u iznosu od 225.000,00 eura za projekt rekonstrukcija i dogradnja zgrade osnovne škole i izgradnje školske sportske dvorane s opremanjem. Kredit je odobren od strane Hrvatske banke za obnovu i razvitak, a početak otplate kredita je 31.10.2026. godine.</w:t>
      </w:r>
    </w:p>
    <w:p/>
    <w:p>
      <w:pPr>
        <w:jc w:val="center"/>
        <w:pStyle w:val="Normal"/>
        <w:spacing w:line="240" w:lineRule="auto"/>
        <w:keepNext/>
      </w:pPr>
      <w:r>
        <w:rPr>
          <w:sz w:val="28"/>
          <w:rFonts w:ascii="Times New Roman" w:hAnsi="Times New Roman"/>
        </w:rPr>
        <w:t xml:space="preserve">Bilješka 43.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predujmove, depozite, jamčevne pologe i tuđe prihode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ND27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23.969,19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       Obveze za depozite i jamčevne pologe – evidentirano je 23.407,62 eura, a odnose se na: Obvezu za povrat jamstva za  jamstveni rok prema ugovoru o Modernizaciji sustava javne rasvjete u Općini Stubičke Toplice 20.527,62 eura, u projektu Rekonstrukcija i modernizacija javne rasvjete na području Općine Stubičke Toplice te za jamstvo za uredno ispunjenje ugovora  u iznosu od 2.880,00 eura za stručni nadzor te usluge koordinatora II zaštite na radu nad izvođenjem radova dogradnje osnovne škole Vladimir Bosnar te izgradnje školske dvorane. </w:t>
      </w:r>
    </w:p>
    <w:p>
      <w:r>
        <w:t xml:space="preserve">-       Temeljem Odluke o odobrenju Općini Stubičke Toplice (osnivaču osnovne škole), za raspodjelu voća i povrća i mlijeka i mliječnih proizvoda u projektu „Školska shema za školsku godinu 2022./2023. je uplaćen predujam za školsku shemu, a obzirom da nisu sva sredstva iskorištena, 78,81 eura vratit će se po zaprimljenoj odluci o povratu predujma. </w:t>
      </w:r>
    </w:p>
    <w:p>
      <w:r>
        <w:t xml:space="preserve">-       Sredstva na ime naknade za troškove ogrjeva iz državnog proračuna, unutar Ministarstva rada, mirovinskog sustava i obitelji i socijalne politike u iznosu od 1.932,00 eura uplaćena su jednokratno za cijelu godinu te se mjesečno isplaćuju korisnicima troškova stanovanja, preostalo je 482,76 eura za isplatiti do kraja godine.</w:t>
      </w:r>
    </w:p>
    <w:p>
      <w:r>
        <w:t xml:space="preserve">Nedospjele obveze odnose se uglavnom na obveze prema dobavljačima koje imaju rok dospijeća u listopadu i studenom 2026. godine te će tada biti podmirene.  </w:t>
      </w:r>
    </w:p>
    <w:p/>
    <w:p>
      <w:pPr>
        <w:jc w:val="center"/>
        <w:pStyle w:val="Normal"/>
        <w:spacing w:line="240" w:lineRule="auto"/>
        <w:keepNext/>
      </w:pPr>
      <w:r>
        <w:rPr>
          <w:sz w:val="28"/>
          <w:rFonts w:ascii="Times New Roman" w:hAnsi="Times New Roman"/>
        </w:rPr>
        <w:t xml:space="preserve">Bilješka 44.</w:t>
      </w:r>
    </w:p>
    <w:p>
      <w:pPr>
        <w:jc w:val="both"/>
        <w:pStyle w:val="Normal"/>
        <w:spacing w:line="240" w:lineRule="auto"/>
      </w:pPr>
      <w:r>
        <w:rPr>
          <w:b/>
          <w:sz w:val="24"/>
          <w:rFonts w:ascii="Times New Roman" w:hAnsi="Times New Roman"/>
        </w:rPr>
        <w:t xml:space="preserve">EU izvještaj</w:t>
      </w:r>
    </w:p>
    <w:p>
      <w:r>
        <w:t xml:space="preserve">IZVOR FINANCIRANJA 581 – MEHANIZAM ZA OPORAVAK I OTPORNOST – BESPOVRATNA SREDSTVA</w:t>
      </w:r>
      <w:r>
        <w:br/>
      </w:r>
      <w:r>
        <w:t xml:space="preserve"> </w:t>
      </w:r>
    </w:p>
    <w:p>
      <w:r>
        <w:t xml:space="preserve">Šifra 63821 – Kapitalne pomoći iz državnog proračuna temeljem prijenosa EU sredstava – u izvještajnom razdoblju ostvareno je 1.165.847,24 eura prihoda temeljem odobrenih Zahtjeva za nadoknadom sredstava za projekt rekonstrukcija i dogradnja zgrade osnovne škole i izgradnja školske sportske dvorane  Ugovor o dodjeli bespovratnih sredstava sklopljen je sa tijelom nadležnim za komponentu 3. Obrazovanje, znanost i istraživanje – Ministarstvom znanosti obrazovanja i mladih za projekte koji se financiraju iz Mehanizma za oporavak i otpornost.</w:t>
      </w:r>
    </w:p>
    <w:p>
      <w:r>
        <w:t xml:space="preserve">Šifra 42 – Rashodi za nabavu proizvedene dugotrajne imovine – realizirano je ukupno 1.364.738,67 eura. Od toga se iznos od 893.657,14 eura odnosi na radove izgradnje školske sportske dvorane i uslugu stručnog nadzora nad izvođenjem radova, 196.045,98 eura odnosi se na uređenja okoliša pored novo izgrađene školske sportske dvorane i dograđene osnovne škole, rashod za energetski certifikat iznosi 1.562,50 eura dok za opremanje navedenih građevina rashod iznosi 260.373,05 eura.  Za izradu izmjena i dopuna prostornog plana uređenja utrošeno je 13.100,00 eura. </w:t>
      </w:r>
    </w:p>
    <w:p>
      <w:r>
        <w:t xml:space="preserve">Šifra 45 – Rashodi za dodatna ulaganja na nefinancijskoj imovini – realizirano je 1.052.049,05 eura za radove rekonstrukcije i dogradnje zgrade osnovne škole te za stručni nadzor nad izgradnjom.</w:t>
      </w:r>
    </w:p>
    <w:p>
      <w:r>
        <w:t xml:space="preserve"> </w:t>
      </w:r>
    </w:p>
    <w:p>
      <w:r>
        <w:t xml:space="preserve">Obračunati prihodi poslovanja - promet</w:t>
      </w:r>
    </w:p>
    <w:p>
      <w:r>
        <w:t xml:space="preserve">Šifra 96382 – Kapitalne pomoći iz državnog proračuna temeljem prijenosa EU sredstava – dugovni promet 1.165.847,24 eura odnosi se na uplatu sredstava u izvještajnom razdoblju temeljem odobrenih potraživanih Zahtjeva za nadoknadom sredstava. Potražni promet u iznosu od 2.247.833,20 eura odnosi se na potraživanje temeljem poslanih Zahtjeva za nadoknadom sredstava za realizaciju projekta rekonstrukcije i dogradnje zgrade osnovne škole i  izgradnje školske sportske dvorane i uređenja okoliša, uslugu stručnog nadzora i nabavu opreme. Zbroj prometa potražne strane je veći u odnosu na zbroj prometa dugovne strane, a to znači da je poslano više zahtjeva za nadoknadom sredstava u izvještajnom razdoblju, a ostvareno je manje uplata temeljem poslanih zahtjeva. Uplate se očekuju u narednom izvještajnom razdoblju.</w:t>
      </w:r>
    </w:p>
    <w:p>
      <w:r>
        <w:t xml:space="preserve"> </w:t>
      </w:r>
    </w:p>
    <w:p>
      <w:r>
        <w:t xml:space="preserve">Potraživanja, obveze, obračunati rashodi i prihodi poslovanja - stanje</w:t>
      </w:r>
    </w:p>
    <w:p>
      <w:r>
        <w:t xml:space="preserve">Šifra 16382 – Potraživanja za kapitalne pomoći iz državnog proračuna temeljem prijenosa sredstava iz EU – stanje na prvi dan izvještajnog razdoblja iznosi 174.573,85 eura dok je na kraju izvještajnog razdoblja evidentirano 1.256.559,61 eura. Iznos od 1.241.302,95 eura, odnosi se na evidentirano potraživanje iz državnog proračuna (Ministarstvo znanosti, obrazovanja i mladih) za projekt rekonstrukcija i dogradnja zgrade osnovne škole i izgradnja školske sportske dvorane s opremanjem temeljem poslanog Zahtjeva za nadoknadom sredstava. Iznos od 15.256,86 eura odnosi se na neprihvatljive troškove iz prethodnih ZNS-ova za isti projekt. To je knjiženo i na ispravak vrijednosti.  Odstupanje je 619,80%. Ako se uzme u obzir stanje na prvi dan izvještajnog razdoblja i na zadnji dan izvještajnog razdoblja odstupanje je nastalo radi toga što je u tijeku obrada Zahtjeva za nadoknadom sredstava u većem iznosu nego što je to bilo početkom izvještajnog razdoblja pa je prema tome veći iznos potraživanja.</w:t>
      </w:r>
    </w:p>
    <w:p>
      <w:r>
        <w:t xml:space="preserve">Šifra 16913 – Ispravak vrijednosti potraživanja za pomoći iz EU za neprihvatljive troškove – evidentirano  je potraživanje za neprihvatljive troškove, za isti projekt, u iznosu od 15.256,86 eura i nema odstupanja u odnosu na početak razdoblja.</w:t>
      </w:r>
    </w:p>
    <w:p>
      <w:r>
        <w:t xml:space="preserve">Šifra 96382S – Kapitalne pomoći iz državnog proračuna temeljem prijenosa EU sredstava – odstupanje od 679,10% na kraju izvještajnog razdoblja u odnosu na početak nastalo je radi toga što je u tijeku obrada Zahtjeva za nadoknadom sredstava u većem iznosu nego što je to bilo početkom izvještajnog razdoblja odnosno na obradi je Zahtjev u iznosu od 1.241.302,95 eura, a na prvi dan izvještajnog razdoblja to je bilo 159.316,99 eura.</w:t>
      </w:r>
    </w:p>
    <w:p>
      <w:r>
        <w:t xml:space="preserve"> </w:t>
      </w:r>
    </w:p>
    <w:p>
      <w:r>
        <w:t xml:space="preserve">Izvanbilančni zapisi </w:t>
      </w:r>
    </w:p>
    <w:p>
      <w:r>
        <w:t xml:space="preserve">Šifra 99171 – Potraživanja po ugovorima o dodijeljenim bespovratnim sredstvima dodijeljenim  iz EU fondova – evidentirano je 780.506,06 eura, od toga je 750.506,06 eura potraživanja temeljem ugovora o dodjeli bespovratnih sredstava za projekte koji se financiraju iz Mehanizma za oporavak i otpornost za realizaciju projekta „Rekonstrukcija i opremanje zgrade osnovne škole i izgradnje i opremanje školske sportske dvorane s uređenjem okoliša“. Također je evidentirano 30.000,00 eura temeljem Ugovora o odjeli bespovratnih sredstava za projekte koji se financiraju iz Nacionalnog plana oporavka i otpornosti 2021.-2026. – Ministarstvo prostornog uređenja, graditeljstva i državne imovine za projekt Izrada izmjena i dopuna Prostornog plana uređenja Općine Stubičke Toplice. Promjena stanja na zadnji dan izvještajnog razdoblja u odnosu na prvi dan izvještajnog razdoblja je smanjenje potraživanja za 2.247.833,20 eura, a razlog tome je slanje Zahtjeva za nadoknadom sredstava tijekom izvještajnog razdoblja.</w:t>
      </w:r>
    </w:p>
    <w:p>
      <w:r>
        <w:t xml:space="preserve"> </w:t>
      </w:r>
    </w:p>
    <w:p>
      <w:r>
        <w:t xml:space="preserve">IZVOR FINANCIRANJA 565 – EUROPSKI POLJOPRIVREDNI FOND ZA RURALNI RAZVOJ</w:t>
      </w:r>
      <w:r>
        <w:br/>
      </w:r>
      <w:r>
        <w:t xml:space="preserve"> </w:t>
      </w:r>
    </w:p>
    <w:p>
      <w:r>
        <w:t xml:space="preserve">Šifra 99171 – Potraživanja po ugovorima o dodijeljenim bespovratnim sredstvima dodijeljenim  iz EU fondova - donesena je Odluka  o odabiru projekta iz 2. LAG natječaja 2.1.1. „Potpora razvoju ruralne infrastrukture“ te je dodijeljena potpora u iznosu od  30.601,93 eura za projekt „Nabava komunalne opreme za održavanje nerazvrstanih cesta i javnih površina“. Nije bilo promjene stanja u odnosu na početak izvještajnog razdoblja. </w:t>
      </w:r>
    </w:p>
    <w:p>
      <w:r>
        <w:t xml:space="preserve"> </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093ba2a57e8f4a35" /></Relationships>
</file>