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146A32" w14:paraId="5B7DBD7D" w14:textId="77777777">
        <w:tc>
          <w:tcPr>
            <w:tcW w:w="0" w:type="auto"/>
          </w:tcPr>
          <w:p w14:paraId="3F780C7A" w14:textId="77777777" w:rsidR="00146A32" w:rsidRDefault="00FB02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58B728A8" wp14:editId="059FAB0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381E7" w14:textId="77777777" w:rsidR="00146A32" w:rsidRDefault="00FB0288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REPUBLIKA HRVATSKA</w:t>
            </w:r>
          </w:p>
          <w:p w14:paraId="7F1B7619" w14:textId="77777777" w:rsidR="00146A32" w:rsidRDefault="00FB028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KRAPINSKO-ZAGORSKA ŽUPANIJA</w:t>
            </w:r>
          </w:p>
          <w:p w14:paraId="5B8E8E99" w14:textId="77777777" w:rsidR="00146A32" w:rsidRDefault="00FB0288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OPĆINA STUBIČKE TOPLICE</w:t>
            </w:r>
          </w:p>
          <w:p w14:paraId="0701649E" w14:textId="1CAC1756" w:rsidR="00146A32" w:rsidRDefault="00FB0288" w:rsidP="006360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6360D7">
              <w:rPr>
                <w:rFonts w:cstheme="minorHAnsi"/>
                <w:b/>
                <w:sz w:val="20"/>
                <w:szCs w:val="20"/>
              </w:rPr>
              <w:t>OPĆINSKO VIJEĆE</w:t>
            </w:r>
          </w:p>
        </w:tc>
      </w:tr>
    </w:tbl>
    <w:p w14:paraId="01DB582E" w14:textId="77777777" w:rsidR="00146A32" w:rsidRDefault="00146A32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14:paraId="56D2822D" w14:textId="46547208" w:rsidR="00146A32" w:rsidRPr="001D49E7" w:rsidRDefault="00FB0288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KLASA:400-01/2</w:t>
      </w:r>
      <w:r w:rsidR="00B5414E" w:rsidRPr="001D49E7">
        <w:rPr>
          <w:rFonts w:cstheme="minorHAnsi"/>
          <w:sz w:val="20"/>
          <w:szCs w:val="20"/>
        </w:rPr>
        <w:t>4</w:t>
      </w:r>
      <w:r w:rsidRPr="001D49E7">
        <w:rPr>
          <w:rFonts w:cstheme="minorHAnsi"/>
          <w:sz w:val="20"/>
          <w:szCs w:val="20"/>
        </w:rPr>
        <w:t>-01/</w:t>
      </w:r>
      <w:r w:rsidR="00B5414E" w:rsidRPr="001D49E7">
        <w:rPr>
          <w:rFonts w:cstheme="minorHAnsi"/>
          <w:sz w:val="20"/>
          <w:szCs w:val="20"/>
        </w:rPr>
        <w:t>12</w:t>
      </w:r>
    </w:p>
    <w:p w14:paraId="64D8CB4B" w14:textId="68BE5956" w:rsidR="00146A32" w:rsidRPr="001D49E7" w:rsidRDefault="00FB0288">
      <w:pPr>
        <w:pStyle w:val="Bezproreda"/>
        <w:spacing w:line="276" w:lineRule="auto"/>
        <w:rPr>
          <w:rFonts w:ascii="Calibri" w:hAnsi="Calibri" w:cs="Calibr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URBROJ:</w:t>
      </w:r>
      <w:r w:rsidRPr="001D49E7">
        <w:rPr>
          <w:rFonts w:ascii="Calibri" w:hAnsi="Calibri" w:cs="Calibri"/>
          <w:sz w:val="20"/>
          <w:szCs w:val="20"/>
        </w:rPr>
        <w:t xml:space="preserve"> 2140-27-</w:t>
      </w:r>
      <w:r w:rsidR="006360D7">
        <w:rPr>
          <w:rFonts w:ascii="Calibri" w:hAnsi="Calibri" w:cs="Calibri"/>
          <w:sz w:val="20"/>
          <w:szCs w:val="20"/>
        </w:rPr>
        <w:t>2</w:t>
      </w:r>
      <w:r w:rsidRPr="001D49E7">
        <w:rPr>
          <w:rFonts w:ascii="Calibri" w:hAnsi="Calibri" w:cs="Calibri"/>
          <w:sz w:val="20"/>
          <w:szCs w:val="20"/>
        </w:rPr>
        <w:t>-2</w:t>
      </w:r>
      <w:r w:rsidR="005923A5" w:rsidRPr="001D49E7">
        <w:rPr>
          <w:rFonts w:ascii="Calibri" w:hAnsi="Calibri" w:cs="Calibri"/>
          <w:sz w:val="20"/>
          <w:szCs w:val="20"/>
        </w:rPr>
        <w:t>4</w:t>
      </w:r>
      <w:r w:rsidRPr="001D49E7">
        <w:rPr>
          <w:rFonts w:ascii="Calibri" w:hAnsi="Calibri" w:cs="Calibri"/>
          <w:sz w:val="20"/>
          <w:szCs w:val="20"/>
        </w:rPr>
        <w:t>-</w:t>
      </w:r>
      <w:r w:rsidR="006360D7">
        <w:rPr>
          <w:rFonts w:ascii="Calibri" w:hAnsi="Calibri" w:cs="Calibri"/>
          <w:sz w:val="20"/>
          <w:szCs w:val="20"/>
        </w:rPr>
        <w:t>1</w:t>
      </w:r>
      <w:r w:rsidR="005923A5" w:rsidRPr="001D49E7">
        <w:rPr>
          <w:rFonts w:ascii="Calibri" w:hAnsi="Calibri" w:cs="Calibri"/>
          <w:sz w:val="20"/>
          <w:szCs w:val="20"/>
        </w:rPr>
        <w:t>6</w:t>
      </w:r>
    </w:p>
    <w:p w14:paraId="6BFBF002" w14:textId="18DD2B1A" w:rsidR="00146A32" w:rsidRPr="001D49E7" w:rsidRDefault="00FB0288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 xml:space="preserve">Stubičke Toplice, </w:t>
      </w:r>
      <w:r w:rsidR="006360D7">
        <w:rPr>
          <w:rFonts w:cstheme="minorHAnsi"/>
          <w:sz w:val="20"/>
          <w:szCs w:val="20"/>
        </w:rPr>
        <w:t>17.12</w:t>
      </w:r>
      <w:r w:rsidR="005923A5" w:rsidRPr="001D49E7">
        <w:rPr>
          <w:rFonts w:cstheme="minorHAnsi"/>
          <w:sz w:val="20"/>
          <w:szCs w:val="20"/>
        </w:rPr>
        <w:t>.2024.</w:t>
      </w:r>
    </w:p>
    <w:p w14:paraId="3B336EEB" w14:textId="77777777" w:rsidR="00146A32" w:rsidRPr="001D49E7" w:rsidRDefault="00146A32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3F330051" w14:textId="32CC05E9" w:rsidR="00146A32" w:rsidRPr="001D49E7" w:rsidRDefault="00FB0288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1D49E7">
        <w:rPr>
          <w:rFonts w:cstheme="minorHAnsi"/>
          <w:b/>
          <w:sz w:val="20"/>
          <w:szCs w:val="20"/>
        </w:rPr>
        <w:t xml:space="preserve">Analiza i ocjena postojećeg financijskog stanja s prijedlogom mjera za otklanjanje uzroka </w:t>
      </w:r>
      <w:r w:rsidR="002129A2">
        <w:rPr>
          <w:rFonts w:cstheme="minorHAnsi"/>
          <w:b/>
          <w:sz w:val="20"/>
          <w:szCs w:val="20"/>
        </w:rPr>
        <w:t>nastanka viška poslovanja</w:t>
      </w:r>
      <w:r w:rsidRPr="001D49E7">
        <w:rPr>
          <w:rFonts w:cstheme="minorHAnsi"/>
          <w:b/>
          <w:sz w:val="20"/>
          <w:szCs w:val="20"/>
        </w:rPr>
        <w:t>, mjerama za stabilno poslovanje i akcijskim planom provedbe navedenih mjera</w:t>
      </w:r>
    </w:p>
    <w:p w14:paraId="22A00030" w14:textId="77777777" w:rsidR="00146A32" w:rsidRPr="001D49E7" w:rsidRDefault="00146A32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6F340654" w14:textId="24DA8B08" w:rsidR="00146A32" w:rsidRPr="001D49E7" w:rsidRDefault="00B033FD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Temeljem članka</w:t>
      </w:r>
      <w:r w:rsidR="00D0095E" w:rsidRPr="001D49E7">
        <w:rPr>
          <w:rFonts w:cstheme="minorHAnsi"/>
          <w:sz w:val="20"/>
          <w:szCs w:val="20"/>
        </w:rPr>
        <w:t xml:space="preserve"> 37. Zakona o proračunu</w:t>
      </w:r>
      <w:r w:rsidR="000F1A4F" w:rsidRPr="001D49E7">
        <w:rPr>
          <w:rFonts w:cstheme="minorHAnsi"/>
          <w:sz w:val="20"/>
          <w:szCs w:val="20"/>
        </w:rPr>
        <w:t xml:space="preserve"> (NN 144/2021), a</w:t>
      </w:r>
      <w:r w:rsidRPr="001D49E7">
        <w:rPr>
          <w:rFonts w:cstheme="minorHAnsi"/>
          <w:sz w:val="20"/>
          <w:szCs w:val="20"/>
        </w:rPr>
        <w:t xml:space="preserve"> u skladu s </w:t>
      </w:r>
      <w:r w:rsidR="00325CCE">
        <w:rPr>
          <w:rFonts w:cstheme="minorHAnsi"/>
          <w:sz w:val="20"/>
          <w:szCs w:val="20"/>
        </w:rPr>
        <w:t xml:space="preserve">člankom 16. </w:t>
      </w:r>
      <w:r w:rsidRPr="001D49E7">
        <w:rPr>
          <w:rFonts w:cstheme="minorHAnsi"/>
          <w:sz w:val="20"/>
          <w:szCs w:val="20"/>
        </w:rPr>
        <w:t>Pravilnik</w:t>
      </w:r>
      <w:r w:rsidR="00325CCE">
        <w:rPr>
          <w:rFonts w:cstheme="minorHAnsi"/>
          <w:sz w:val="20"/>
          <w:szCs w:val="20"/>
        </w:rPr>
        <w:t>a</w:t>
      </w:r>
      <w:r w:rsidRPr="001D49E7">
        <w:rPr>
          <w:rFonts w:cstheme="minorHAnsi"/>
          <w:sz w:val="20"/>
          <w:szCs w:val="20"/>
        </w:rPr>
        <w:t xml:space="preserve"> o planiranju u sustavu proračuna (NN 1/2024), </w:t>
      </w:r>
      <w:r w:rsidR="00FB0288" w:rsidRPr="001D49E7">
        <w:rPr>
          <w:rFonts w:cstheme="minorHAnsi"/>
          <w:sz w:val="20"/>
          <w:szCs w:val="20"/>
        </w:rPr>
        <w:t xml:space="preserve">izrađena je analiza financijskog stanja Općine Stubičke Toplice radi što kvalitetnije procjene </w:t>
      </w:r>
      <w:r w:rsidRPr="001D49E7">
        <w:rPr>
          <w:rFonts w:cstheme="minorHAnsi"/>
          <w:sz w:val="20"/>
          <w:szCs w:val="20"/>
        </w:rPr>
        <w:t>višk</w:t>
      </w:r>
      <w:r w:rsidR="00FB0288" w:rsidRPr="001D49E7">
        <w:rPr>
          <w:rFonts w:cstheme="minorHAnsi"/>
          <w:sz w:val="20"/>
          <w:szCs w:val="20"/>
        </w:rPr>
        <w:t>a za 202</w:t>
      </w:r>
      <w:r w:rsidRPr="001D49E7">
        <w:rPr>
          <w:rFonts w:cstheme="minorHAnsi"/>
          <w:sz w:val="20"/>
          <w:szCs w:val="20"/>
        </w:rPr>
        <w:t>4</w:t>
      </w:r>
      <w:r w:rsidR="00FB0288" w:rsidRPr="001D49E7">
        <w:rPr>
          <w:rFonts w:cstheme="minorHAnsi"/>
          <w:sz w:val="20"/>
          <w:szCs w:val="20"/>
        </w:rPr>
        <w:t xml:space="preserve">. godinu te izrade plana </w:t>
      </w:r>
      <w:r w:rsidRPr="001D49E7">
        <w:rPr>
          <w:rFonts w:cstheme="minorHAnsi"/>
          <w:sz w:val="20"/>
          <w:szCs w:val="20"/>
        </w:rPr>
        <w:t>potrošnje proračunskog viška.</w:t>
      </w:r>
      <w:r w:rsidR="00FB0288" w:rsidRPr="001D49E7">
        <w:rPr>
          <w:rFonts w:cstheme="minorHAnsi"/>
          <w:sz w:val="20"/>
          <w:szCs w:val="20"/>
        </w:rPr>
        <w:t xml:space="preserve"> Na temelju sagledanih pokazatelja sastavljen je prijedlog mjera za </w:t>
      </w:r>
      <w:r w:rsidR="00325CCE">
        <w:rPr>
          <w:rFonts w:cstheme="minorHAnsi"/>
          <w:sz w:val="20"/>
          <w:szCs w:val="20"/>
        </w:rPr>
        <w:t>trošenje</w:t>
      </w:r>
      <w:r w:rsidRPr="001D49E7">
        <w:rPr>
          <w:rFonts w:cstheme="minorHAnsi"/>
          <w:sz w:val="20"/>
          <w:szCs w:val="20"/>
        </w:rPr>
        <w:t xml:space="preserve"> planiranog viška</w:t>
      </w:r>
      <w:r w:rsidR="00FB0288" w:rsidRPr="001D49E7">
        <w:rPr>
          <w:rFonts w:cstheme="minorHAnsi"/>
          <w:sz w:val="20"/>
          <w:szCs w:val="20"/>
        </w:rPr>
        <w:t xml:space="preserve"> i akcijski plan za provedbu. U analizi financijskog stanja korišteni su podaci iz Financijskih izvještaja Općine Stubičke Toplice.</w:t>
      </w:r>
    </w:p>
    <w:p w14:paraId="39E3BD00" w14:textId="77777777" w:rsidR="00146A32" w:rsidRPr="001D49E7" w:rsidRDefault="00FB0288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Općina Stubičke Toplice ima ustrojen Jedinstveni upravni odjel i ima dva proračunska korisnika, Dječji vrtić „Zvirek“ i Općinsku knjižnicu Stubičke Toplice.</w:t>
      </w:r>
    </w:p>
    <w:p w14:paraId="70D685D5" w14:textId="77777777" w:rsidR="00146A32" w:rsidRPr="001D49E7" w:rsidRDefault="00146A32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70D93E9A" w14:textId="77777777" w:rsidR="00146A32" w:rsidRPr="001D49E7" w:rsidRDefault="00FB0288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1D49E7">
        <w:rPr>
          <w:rFonts w:cstheme="minorHAnsi"/>
          <w:b/>
          <w:sz w:val="20"/>
          <w:szCs w:val="20"/>
        </w:rPr>
        <w:t xml:space="preserve">Analiza financijskog poslovanja Općine Stubičke Toplice </w:t>
      </w:r>
    </w:p>
    <w:p w14:paraId="59438E75" w14:textId="77777777" w:rsidR="00146A32" w:rsidRPr="001D49E7" w:rsidRDefault="00146A32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p w14:paraId="0FBD09BB" w14:textId="77777777" w:rsidR="00146A32" w:rsidRPr="001D49E7" w:rsidRDefault="00FB0288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1D49E7">
        <w:rPr>
          <w:rFonts w:cstheme="minorHAnsi"/>
          <w:b/>
          <w:bCs/>
          <w:sz w:val="20"/>
          <w:szCs w:val="20"/>
        </w:rPr>
        <w:t>IZVJEŠTAJ O PRIHODIMA I PRIMICIMA</w:t>
      </w: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1560"/>
        <w:gridCol w:w="1559"/>
      </w:tblGrid>
      <w:tr w:rsidR="001D49E7" w:rsidRPr="001D49E7" w14:paraId="127DC131" w14:textId="77777777">
        <w:tc>
          <w:tcPr>
            <w:tcW w:w="3681" w:type="dxa"/>
            <w:shd w:val="clear" w:color="auto" w:fill="B8CCE4" w:themeFill="accent1" w:themeFillTint="66"/>
          </w:tcPr>
          <w:p w14:paraId="622AFBA3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PRIHODI I PRIMICI PO VRSTI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2604789A" w14:textId="5B287E26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31.12.202</w:t>
            </w:r>
            <w:r w:rsidR="00B5414E" w:rsidRPr="001D49E7">
              <w:rPr>
                <w:rFonts w:cstheme="minorHAnsi"/>
                <w:b/>
                <w:sz w:val="18"/>
                <w:szCs w:val="18"/>
              </w:rPr>
              <w:t>2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1493845D" w14:textId="77777777" w:rsidR="00146A32" w:rsidRPr="001D49E7" w:rsidRDefault="00146A3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7A49A425" w14:textId="2AEA9D66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31.12.202</w:t>
            </w:r>
            <w:r w:rsidR="00B5414E" w:rsidRPr="001D49E7">
              <w:rPr>
                <w:rFonts w:cstheme="minorHAnsi"/>
                <w:b/>
                <w:sz w:val="18"/>
                <w:szCs w:val="18"/>
              </w:rPr>
              <w:t>3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762B20C4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6F94ECD2" w14:textId="2C5B2452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30.09.202</w:t>
            </w:r>
            <w:r w:rsidR="00B5414E" w:rsidRPr="001D49E7">
              <w:rPr>
                <w:rFonts w:cstheme="minorHAnsi"/>
                <w:b/>
                <w:sz w:val="18"/>
                <w:szCs w:val="18"/>
              </w:rPr>
              <w:t>3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3F4E2A9A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4C52898" w14:textId="27C70B39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30.09.202</w:t>
            </w:r>
            <w:r w:rsidR="00B5414E" w:rsidRPr="001D49E7">
              <w:rPr>
                <w:rFonts w:cstheme="minorHAnsi"/>
                <w:b/>
                <w:sz w:val="18"/>
                <w:szCs w:val="18"/>
              </w:rPr>
              <w:t>4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0AB3101C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1D49E7" w:rsidRPr="001D49E7" w14:paraId="674A5819" w14:textId="77777777">
        <w:tc>
          <w:tcPr>
            <w:tcW w:w="3681" w:type="dxa"/>
          </w:tcPr>
          <w:p w14:paraId="7D691F0F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Prihodi od poreza</w:t>
            </w:r>
          </w:p>
        </w:tc>
        <w:tc>
          <w:tcPr>
            <w:tcW w:w="1559" w:type="dxa"/>
          </w:tcPr>
          <w:p w14:paraId="44D96D5F" w14:textId="6492EC94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1.255.414,08</w:t>
            </w:r>
          </w:p>
        </w:tc>
        <w:tc>
          <w:tcPr>
            <w:tcW w:w="1559" w:type="dxa"/>
          </w:tcPr>
          <w:p w14:paraId="618FD3EA" w14:textId="09AD2D45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1.621.517,36</w:t>
            </w:r>
          </w:p>
        </w:tc>
        <w:tc>
          <w:tcPr>
            <w:tcW w:w="1560" w:type="dxa"/>
          </w:tcPr>
          <w:p w14:paraId="52B68D72" w14:textId="47E7AD62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1.163.656,76</w:t>
            </w:r>
          </w:p>
        </w:tc>
        <w:tc>
          <w:tcPr>
            <w:tcW w:w="1559" w:type="dxa"/>
          </w:tcPr>
          <w:p w14:paraId="515C9198" w14:textId="62BB3815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1.562.611,26</w:t>
            </w:r>
          </w:p>
        </w:tc>
      </w:tr>
      <w:tr w:rsidR="001D49E7" w:rsidRPr="001D49E7" w14:paraId="7C225E23" w14:textId="77777777">
        <w:tc>
          <w:tcPr>
            <w:tcW w:w="3681" w:type="dxa"/>
          </w:tcPr>
          <w:p w14:paraId="2A2295CB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559" w:type="dxa"/>
          </w:tcPr>
          <w:p w14:paraId="0BD95701" w14:textId="5F29CEE9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131.895,41</w:t>
            </w:r>
          </w:p>
        </w:tc>
        <w:tc>
          <w:tcPr>
            <w:tcW w:w="1559" w:type="dxa"/>
          </w:tcPr>
          <w:p w14:paraId="02F6CD65" w14:textId="7E98611B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892.682,07</w:t>
            </w:r>
          </w:p>
        </w:tc>
        <w:tc>
          <w:tcPr>
            <w:tcW w:w="1560" w:type="dxa"/>
          </w:tcPr>
          <w:p w14:paraId="10286C6A" w14:textId="0D26D01E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236.848,93</w:t>
            </w:r>
          </w:p>
        </w:tc>
        <w:tc>
          <w:tcPr>
            <w:tcW w:w="1559" w:type="dxa"/>
          </w:tcPr>
          <w:p w14:paraId="4DEC4510" w14:textId="135D6597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90.478,63</w:t>
            </w:r>
          </w:p>
        </w:tc>
      </w:tr>
      <w:tr w:rsidR="001D49E7" w:rsidRPr="001D49E7" w14:paraId="5E414508" w14:textId="77777777">
        <w:tc>
          <w:tcPr>
            <w:tcW w:w="3681" w:type="dxa"/>
          </w:tcPr>
          <w:p w14:paraId="4D825110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Prihodi od imovine</w:t>
            </w:r>
          </w:p>
        </w:tc>
        <w:tc>
          <w:tcPr>
            <w:tcW w:w="1559" w:type="dxa"/>
          </w:tcPr>
          <w:p w14:paraId="312E6B1A" w14:textId="27F322E5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28.618,45</w:t>
            </w:r>
          </w:p>
        </w:tc>
        <w:tc>
          <w:tcPr>
            <w:tcW w:w="1559" w:type="dxa"/>
          </w:tcPr>
          <w:p w14:paraId="235CEF2D" w14:textId="03771448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32.031,42</w:t>
            </w:r>
          </w:p>
        </w:tc>
        <w:tc>
          <w:tcPr>
            <w:tcW w:w="1560" w:type="dxa"/>
          </w:tcPr>
          <w:p w14:paraId="09F67015" w14:textId="19D4F17C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24.487,91</w:t>
            </w:r>
          </w:p>
        </w:tc>
        <w:tc>
          <w:tcPr>
            <w:tcW w:w="1559" w:type="dxa"/>
          </w:tcPr>
          <w:p w14:paraId="1ADAFDA4" w14:textId="2A49E972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31.265,18</w:t>
            </w:r>
          </w:p>
        </w:tc>
      </w:tr>
      <w:tr w:rsidR="001D49E7" w:rsidRPr="001D49E7" w14:paraId="18DCE735" w14:textId="77777777">
        <w:tc>
          <w:tcPr>
            <w:tcW w:w="3681" w:type="dxa"/>
          </w:tcPr>
          <w:p w14:paraId="0902368D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</w:tcPr>
          <w:p w14:paraId="79FFD4A5" w14:textId="644843DD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155.127,28</w:t>
            </w:r>
          </w:p>
        </w:tc>
        <w:tc>
          <w:tcPr>
            <w:tcW w:w="1559" w:type="dxa"/>
          </w:tcPr>
          <w:p w14:paraId="665CE7D8" w14:textId="396BE01D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334.994,19</w:t>
            </w:r>
          </w:p>
        </w:tc>
        <w:tc>
          <w:tcPr>
            <w:tcW w:w="1560" w:type="dxa"/>
          </w:tcPr>
          <w:p w14:paraId="7F88FCE9" w14:textId="4490AFB4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286.595,03</w:t>
            </w:r>
          </w:p>
        </w:tc>
        <w:tc>
          <w:tcPr>
            <w:tcW w:w="1559" w:type="dxa"/>
          </w:tcPr>
          <w:p w14:paraId="609D97FE" w14:textId="5D51ED38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71.233,11</w:t>
            </w:r>
          </w:p>
        </w:tc>
      </w:tr>
      <w:tr w:rsidR="001D49E7" w:rsidRPr="001D49E7" w14:paraId="58E1B6F4" w14:textId="77777777">
        <w:tc>
          <w:tcPr>
            <w:tcW w:w="3681" w:type="dxa"/>
          </w:tcPr>
          <w:p w14:paraId="6D9EA05C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Prihodi od prodaje proizvoda i roba te pruženih usluga i prihodi od donacija</w:t>
            </w:r>
          </w:p>
        </w:tc>
        <w:tc>
          <w:tcPr>
            <w:tcW w:w="1559" w:type="dxa"/>
          </w:tcPr>
          <w:p w14:paraId="7C05496C" w14:textId="29F025F7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36.754,16</w:t>
            </w:r>
          </w:p>
        </w:tc>
        <w:tc>
          <w:tcPr>
            <w:tcW w:w="1559" w:type="dxa"/>
          </w:tcPr>
          <w:p w14:paraId="06F9873B" w14:textId="31B499C3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39.904,15</w:t>
            </w:r>
          </w:p>
        </w:tc>
        <w:tc>
          <w:tcPr>
            <w:tcW w:w="1560" w:type="dxa"/>
          </w:tcPr>
          <w:p w14:paraId="12D23DC4" w14:textId="552E80E9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30.861,18</w:t>
            </w:r>
          </w:p>
        </w:tc>
        <w:tc>
          <w:tcPr>
            <w:tcW w:w="1559" w:type="dxa"/>
          </w:tcPr>
          <w:p w14:paraId="37EEA2A0" w14:textId="0F2D6CCF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36.878,81</w:t>
            </w:r>
          </w:p>
        </w:tc>
      </w:tr>
      <w:tr w:rsidR="001D49E7" w:rsidRPr="001D49E7" w14:paraId="5250989F" w14:textId="77777777">
        <w:tc>
          <w:tcPr>
            <w:tcW w:w="3681" w:type="dxa"/>
          </w:tcPr>
          <w:p w14:paraId="66349EE2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Kazne, upravne mjere te ostali prihodi</w:t>
            </w:r>
          </w:p>
        </w:tc>
        <w:tc>
          <w:tcPr>
            <w:tcW w:w="1559" w:type="dxa"/>
          </w:tcPr>
          <w:p w14:paraId="64D931C1" w14:textId="25078A5B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10.020,54</w:t>
            </w:r>
          </w:p>
        </w:tc>
        <w:tc>
          <w:tcPr>
            <w:tcW w:w="1559" w:type="dxa"/>
          </w:tcPr>
          <w:p w14:paraId="46DCC372" w14:textId="3B05AC4F" w:rsidR="00146A32" w:rsidRPr="001D49E7" w:rsidRDefault="00B033FD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10.396,32</w:t>
            </w:r>
          </w:p>
        </w:tc>
        <w:tc>
          <w:tcPr>
            <w:tcW w:w="1560" w:type="dxa"/>
          </w:tcPr>
          <w:p w14:paraId="03017A2F" w14:textId="243315C5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6.109,20</w:t>
            </w:r>
          </w:p>
        </w:tc>
        <w:tc>
          <w:tcPr>
            <w:tcW w:w="1559" w:type="dxa"/>
          </w:tcPr>
          <w:p w14:paraId="5B1867BD" w14:textId="05A387C9" w:rsidR="00146A32" w:rsidRPr="001D49E7" w:rsidRDefault="00DF276F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9.582,08</w:t>
            </w:r>
          </w:p>
        </w:tc>
      </w:tr>
      <w:tr w:rsidR="001D49E7" w:rsidRPr="001D49E7" w14:paraId="2161375E" w14:textId="77777777">
        <w:tc>
          <w:tcPr>
            <w:tcW w:w="3681" w:type="dxa"/>
            <w:shd w:val="clear" w:color="auto" w:fill="DBE5F1" w:themeFill="accent1" w:themeFillTint="33"/>
          </w:tcPr>
          <w:p w14:paraId="78FBF93B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D49E7">
              <w:rPr>
                <w:rFonts w:cstheme="minorHAnsi"/>
                <w:b/>
                <w:bCs/>
                <w:sz w:val="18"/>
                <w:szCs w:val="18"/>
              </w:rPr>
              <w:t>UKUPNO PRIHODI POSLOVANJA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59534BB" w14:textId="0B9C10C8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D49E7">
              <w:rPr>
                <w:rFonts w:cstheme="minorHAnsi"/>
                <w:b/>
                <w:bCs/>
                <w:sz w:val="18"/>
                <w:szCs w:val="18"/>
              </w:rPr>
              <w:t>1.617.829,92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4811CCF" w14:textId="33C4E879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D49E7">
              <w:rPr>
                <w:rFonts w:cstheme="minorHAnsi"/>
                <w:b/>
                <w:bCs/>
                <w:sz w:val="18"/>
                <w:szCs w:val="18"/>
              </w:rPr>
              <w:t>2.931.525,51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0ACA5FD4" w14:textId="541C20AC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D49E7">
              <w:rPr>
                <w:rFonts w:cstheme="minorHAnsi"/>
                <w:b/>
                <w:bCs/>
                <w:sz w:val="18"/>
                <w:szCs w:val="18"/>
              </w:rPr>
              <w:t>1.748.559,00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5726A34" w14:textId="637A0333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D49E7">
              <w:rPr>
                <w:rFonts w:cstheme="minorHAnsi"/>
                <w:b/>
                <w:bCs/>
                <w:sz w:val="18"/>
                <w:szCs w:val="18"/>
              </w:rPr>
              <w:t>1.802.049,07</w:t>
            </w:r>
          </w:p>
        </w:tc>
      </w:tr>
      <w:tr w:rsidR="001D49E7" w:rsidRPr="001D49E7" w14:paraId="3502585B" w14:textId="77777777">
        <w:tc>
          <w:tcPr>
            <w:tcW w:w="3681" w:type="dxa"/>
          </w:tcPr>
          <w:p w14:paraId="2995C8E6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 xml:space="preserve">Prihodi od prodaje proizvedene dugotrajne imovine </w:t>
            </w:r>
          </w:p>
        </w:tc>
        <w:tc>
          <w:tcPr>
            <w:tcW w:w="1559" w:type="dxa"/>
          </w:tcPr>
          <w:p w14:paraId="6FA3A244" w14:textId="05D1A53D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49,92</w:t>
            </w:r>
          </w:p>
        </w:tc>
        <w:tc>
          <w:tcPr>
            <w:tcW w:w="1559" w:type="dxa"/>
          </w:tcPr>
          <w:p w14:paraId="338BE92C" w14:textId="5AA9C3AB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14:paraId="6ED5EED7" w14:textId="3202AF90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14:paraId="362B44FC" w14:textId="64EF25DB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1D49E7" w:rsidRPr="001D49E7" w14:paraId="2346FB04" w14:textId="77777777">
        <w:tc>
          <w:tcPr>
            <w:tcW w:w="3681" w:type="dxa"/>
            <w:shd w:val="clear" w:color="auto" w:fill="DBE5F1" w:themeFill="accent1" w:themeFillTint="33"/>
          </w:tcPr>
          <w:p w14:paraId="3604689C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1D49E7">
              <w:rPr>
                <w:rFonts w:cstheme="minorHAnsi"/>
                <w:b/>
                <w:bCs/>
                <w:sz w:val="18"/>
                <w:szCs w:val="18"/>
              </w:rPr>
              <w:t>UKUPNO PRIHODI OD PRODAJE NEFINANCIJSKE IMOIVNE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A204D65" w14:textId="36DD6981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D49E7">
              <w:rPr>
                <w:rFonts w:cstheme="minorHAnsi"/>
                <w:b/>
                <w:bCs/>
                <w:sz w:val="18"/>
                <w:szCs w:val="18"/>
              </w:rPr>
              <w:t>49,92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5B64FF4" w14:textId="3F5B03BD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D49E7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3B703960" w14:textId="6736A0B0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D49E7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BED223B" w14:textId="1B0BBC24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1D49E7">
              <w:rPr>
                <w:rFonts w:cstheme="minorHAnsi"/>
                <w:b/>
                <w:bCs/>
                <w:sz w:val="18"/>
                <w:szCs w:val="18"/>
              </w:rPr>
              <w:t>0,00</w:t>
            </w:r>
          </w:p>
        </w:tc>
      </w:tr>
      <w:tr w:rsidR="001D49E7" w:rsidRPr="001D49E7" w14:paraId="25B32091" w14:textId="77777777">
        <w:tc>
          <w:tcPr>
            <w:tcW w:w="3681" w:type="dxa"/>
            <w:shd w:val="clear" w:color="auto" w:fill="auto"/>
          </w:tcPr>
          <w:p w14:paraId="75188A2A" w14:textId="520B0CE4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559" w:type="dxa"/>
            <w:shd w:val="clear" w:color="auto" w:fill="auto"/>
          </w:tcPr>
          <w:p w14:paraId="49795290" w14:textId="3B086A3E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E6127F7" w14:textId="3090617E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00471DC7" w14:textId="68897647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34E161D" w14:textId="688D57AE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</w:tr>
      <w:tr w:rsidR="001D49E7" w:rsidRPr="001D49E7" w14:paraId="6E188F10" w14:textId="77777777">
        <w:tc>
          <w:tcPr>
            <w:tcW w:w="3681" w:type="dxa"/>
            <w:shd w:val="clear" w:color="auto" w:fill="DBE5F1" w:themeFill="accent1" w:themeFillTint="33"/>
          </w:tcPr>
          <w:p w14:paraId="63F52E38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UKUPNO PRIMICI: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FFB087D" w14:textId="32035A2B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C817DB2" w14:textId="208F6F21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3EC01125" w14:textId="3A820603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95E9F77" w14:textId="1CFFD98D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</w:tr>
      <w:tr w:rsidR="001D49E7" w:rsidRPr="001D49E7" w14:paraId="634A4A30" w14:textId="77777777">
        <w:tc>
          <w:tcPr>
            <w:tcW w:w="3681" w:type="dxa"/>
            <w:shd w:val="clear" w:color="auto" w:fill="B8CCE4" w:themeFill="accent1" w:themeFillTint="66"/>
          </w:tcPr>
          <w:p w14:paraId="3F355C2A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UKUPNO PRIHODI I PRIMICI: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6EFBA44A" w14:textId="22FABA05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1.617.879,84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DE23CBD" w14:textId="2D4F9271" w:rsidR="00146A32" w:rsidRPr="001D49E7" w:rsidRDefault="00F0588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2.931.525,51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07842CED" w14:textId="7EFAD085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1.748.559,00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108379C" w14:textId="3EED394F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1.802.049,07</w:t>
            </w:r>
          </w:p>
        </w:tc>
      </w:tr>
    </w:tbl>
    <w:p w14:paraId="340D10A5" w14:textId="77777777" w:rsidR="00146A32" w:rsidRPr="001D49E7" w:rsidRDefault="00146A32">
      <w:pPr>
        <w:pStyle w:val="Bezproreda"/>
        <w:rPr>
          <w:rFonts w:cstheme="minorHAnsi"/>
          <w:sz w:val="18"/>
          <w:szCs w:val="18"/>
        </w:rPr>
      </w:pPr>
    </w:p>
    <w:p w14:paraId="7444516C" w14:textId="21A42BA7" w:rsidR="00146A32" w:rsidRPr="001D49E7" w:rsidRDefault="00FB0288">
      <w:pPr>
        <w:pStyle w:val="Tijeloteksta"/>
        <w:spacing w:line="276" w:lineRule="auto"/>
        <w:ind w:firstLine="708"/>
        <w:rPr>
          <w:rFonts w:ascii="Calibri" w:hAnsi="Calibri" w:cs="Calibri"/>
          <w:sz w:val="20"/>
          <w:szCs w:val="20"/>
        </w:rPr>
      </w:pPr>
      <w:r w:rsidRPr="001D49E7">
        <w:rPr>
          <w:rFonts w:asciiTheme="minorHAnsi" w:hAnsiTheme="minorHAnsi" w:cstheme="minorHAnsi"/>
          <w:sz w:val="20"/>
          <w:szCs w:val="20"/>
        </w:rPr>
        <w:t>U 202</w:t>
      </w:r>
      <w:r w:rsidR="00F05884" w:rsidRPr="001D49E7">
        <w:rPr>
          <w:rFonts w:asciiTheme="minorHAnsi" w:hAnsiTheme="minorHAnsi" w:cstheme="minorHAnsi"/>
          <w:sz w:val="20"/>
          <w:szCs w:val="20"/>
        </w:rPr>
        <w:t>3</w:t>
      </w:r>
      <w:r w:rsidRPr="001D49E7">
        <w:rPr>
          <w:rFonts w:asciiTheme="minorHAnsi" w:hAnsiTheme="minorHAnsi" w:cstheme="minorHAnsi"/>
          <w:sz w:val="20"/>
          <w:szCs w:val="20"/>
        </w:rPr>
        <w:t xml:space="preserve">. godini ostvareno je za </w:t>
      </w:r>
      <w:r w:rsidR="00F05884" w:rsidRPr="001D49E7">
        <w:rPr>
          <w:rFonts w:asciiTheme="minorHAnsi" w:hAnsiTheme="minorHAnsi" w:cstheme="minorHAnsi"/>
          <w:sz w:val="20"/>
          <w:szCs w:val="20"/>
        </w:rPr>
        <w:t>81,20</w:t>
      </w:r>
      <w:r w:rsidRPr="001D49E7">
        <w:rPr>
          <w:rFonts w:asciiTheme="minorHAnsi" w:hAnsiTheme="minorHAnsi" w:cstheme="minorHAnsi"/>
          <w:sz w:val="20"/>
          <w:szCs w:val="20"/>
        </w:rPr>
        <w:t>% više ukupnih prihoda u odnosu na 202</w:t>
      </w:r>
      <w:r w:rsidR="00F05884" w:rsidRPr="001D49E7">
        <w:rPr>
          <w:rFonts w:asciiTheme="minorHAnsi" w:hAnsiTheme="minorHAnsi" w:cstheme="minorHAnsi"/>
          <w:sz w:val="20"/>
          <w:szCs w:val="20"/>
        </w:rPr>
        <w:t>2</w:t>
      </w:r>
      <w:r w:rsidRPr="001D49E7">
        <w:rPr>
          <w:rFonts w:asciiTheme="minorHAnsi" w:hAnsiTheme="minorHAnsi" w:cstheme="minorHAnsi"/>
          <w:sz w:val="20"/>
          <w:szCs w:val="20"/>
        </w:rPr>
        <w:t xml:space="preserve">. godinu. </w:t>
      </w:r>
      <w:r w:rsidR="00F05884" w:rsidRPr="001D49E7">
        <w:rPr>
          <w:rFonts w:asciiTheme="minorHAnsi" w:hAnsiTheme="minorHAnsi" w:cstheme="minorHAnsi"/>
          <w:sz w:val="20"/>
          <w:szCs w:val="20"/>
        </w:rPr>
        <w:t xml:space="preserve">Povećanje </w:t>
      </w:r>
      <w:r w:rsidRPr="001D49E7">
        <w:rPr>
          <w:rFonts w:asciiTheme="minorHAnsi" w:hAnsiTheme="minorHAnsi" w:cstheme="minorHAnsi"/>
          <w:sz w:val="20"/>
          <w:szCs w:val="20"/>
        </w:rPr>
        <w:t xml:space="preserve">se </w:t>
      </w:r>
      <w:r w:rsidR="00F05884" w:rsidRPr="001D49E7">
        <w:rPr>
          <w:rFonts w:asciiTheme="minorHAnsi" w:hAnsiTheme="minorHAnsi" w:cstheme="minorHAnsi"/>
          <w:sz w:val="20"/>
          <w:szCs w:val="20"/>
        </w:rPr>
        <w:t xml:space="preserve">odnosi </w:t>
      </w:r>
      <w:r w:rsidRPr="001D49E7">
        <w:rPr>
          <w:rFonts w:asciiTheme="minorHAnsi" w:hAnsiTheme="minorHAnsi" w:cstheme="minorHAnsi"/>
          <w:sz w:val="20"/>
          <w:szCs w:val="20"/>
        </w:rPr>
        <w:t>na prihode od poreza, oni su u odnosu na 202</w:t>
      </w:r>
      <w:r w:rsidR="00F05884" w:rsidRPr="001D49E7">
        <w:rPr>
          <w:rFonts w:asciiTheme="minorHAnsi" w:hAnsiTheme="minorHAnsi" w:cstheme="minorHAnsi"/>
          <w:sz w:val="20"/>
          <w:szCs w:val="20"/>
        </w:rPr>
        <w:t>2</w:t>
      </w:r>
      <w:r w:rsidRPr="001D49E7">
        <w:rPr>
          <w:rFonts w:asciiTheme="minorHAnsi" w:hAnsiTheme="minorHAnsi" w:cstheme="minorHAnsi"/>
          <w:sz w:val="20"/>
          <w:szCs w:val="20"/>
        </w:rPr>
        <w:t>. povećani za 29</w:t>
      </w:r>
      <w:r w:rsidR="00F05884" w:rsidRPr="001D49E7">
        <w:rPr>
          <w:rFonts w:asciiTheme="minorHAnsi" w:hAnsiTheme="minorHAnsi" w:cstheme="minorHAnsi"/>
          <w:sz w:val="20"/>
          <w:szCs w:val="20"/>
        </w:rPr>
        <w:t>,20</w:t>
      </w:r>
      <w:r w:rsidRPr="001D49E7">
        <w:rPr>
          <w:rFonts w:asciiTheme="minorHAnsi" w:hAnsiTheme="minorHAnsi" w:cstheme="minorHAnsi"/>
          <w:sz w:val="20"/>
          <w:szCs w:val="20"/>
        </w:rPr>
        <w:t xml:space="preserve">%. </w:t>
      </w:r>
      <w:r w:rsidR="006360D7">
        <w:rPr>
          <w:rFonts w:asciiTheme="minorHAnsi" w:hAnsiTheme="minorHAnsi" w:cstheme="minorHAnsi"/>
          <w:sz w:val="20"/>
          <w:szCs w:val="20"/>
        </w:rPr>
        <w:t xml:space="preserve">Pošto se </w:t>
      </w:r>
      <w:r w:rsidR="0078648D" w:rsidRPr="001D49E7">
        <w:rPr>
          <w:rFonts w:asciiTheme="minorHAnsi" w:hAnsiTheme="minorHAnsi" w:cstheme="minorHAnsi"/>
          <w:sz w:val="20"/>
          <w:szCs w:val="20"/>
        </w:rPr>
        <w:t xml:space="preserve"> udio JLP(R)S u ukupnim prihodima od poreza na dohodak nije mijenja</w:t>
      </w:r>
      <w:r w:rsidR="003915F3">
        <w:rPr>
          <w:rFonts w:asciiTheme="minorHAnsi" w:hAnsiTheme="minorHAnsi" w:cstheme="minorHAnsi"/>
          <w:sz w:val="20"/>
          <w:szCs w:val="20"/>
        </w:rPr>
        <w:t>o</w:t>
      </w:r>
      <w:r w:rsidR="0078648D" w:rsidRPr="001D49E7">
        <w:rPr>
          <w:rFonts w:asciiTheme="minorHAnsi" w:hAnsiTheme="minorHAnsi" w:cstheme="minorHAnsi"/>
          <w:sz w:val="20"/>
          <w:szCs w:val="20"/>
        </w:rPr>
        <w:t xml:space="preserve"> učinak porasta ostvarenja ove vrste prihoda u odnosu na 2022. </w:t>
      </w:r>
      <w:r w:rsidR="0078648D" w:rsidRPr="001D49E7">
        <w:rPr>
          <w:rFonts w:asciiTheme="minorHAnsi" w:hAnsiTheme="minorHAnsi" w:cstheme="minorHAnsi"/>
          <w:sz w:val="20"/>
          <w:szCs w:val="20"/>
        </w:rPr>
        <w:lastRenderedPageBreak/>
        <w:t>godinu može</w:t>
      </w:r>
      <w:r w:rsidR="003915F3">
        <w:rPr>
          <w:rFonts w:asciiTheme="minorHAnsi" w:hAnsiTheme="minorHAnsi" w:cstheme="minorHAnsi"/>
          <w:sz w:val="20"/>
          <w:szCs w:val="20"/>
        </w:rPr>
        <w:t xml:space="preserve"> se </w:t>
      </w:r>
      <w:r w:rsidR="0078648D" w:rsidRPr="001D49E7">
        <w:rPr>
          <w:rFonts w:asciiTheme="minorHAnsi" w:hAnsiTheme="minorHAnsi" w:cstheme="minorHAnsi"/>
          <w:sz w:val="20"/>
          <w:szCs w:val="20"/>
        </w:rPr>
        <w:t xml:space="preserve"> pripisati povećanju os</w:t>
      </w:r>
      <w:r w:rsidR="00CE4263">
        <w:rPr>
          <w:rFonts w:asciiTheme="minorHAnsi" w:hAnsiTheme="minorHAnsi" w:cstheme="minorHAnsi"/>
          <w:sz w:val="20"/>
          <w:szCs w:val="20"/>
        </w:rPr>
        <w:t>o</w:t>
      </w:r>
      <w:r w:rsidR="0078648D" w:rsidRPr="001D49E7">
        <w:rPr>
          <w:rFonts w:asciiTheme="minorHAnsi" w:hAnsiTheme="minorHAnsi" w:cstheme="minorHAnsi"/>
          <w:sz w:val="20"/>
          <w:szCs w:val="20"/>
        </w:rPr>
        <w:t xml:space="preserve">bnih dohodaka i doseljavanju ljudi u Općinu Stubičke Toplice. U ostvarenju prihoda od poreza na kuće za odmor i poreza na promet nekretnina nije bilo </w:t>
      </w:r>
      <w:r w:rsidR="0078648D" w:rsidRPr="001D49E7">
        <w:rPr>
          <w:rFonts w:ascii="Calibri" w:hAnsi="Calibri" w:cs="Calibri"/>
          <w:sz w:val="20"/>
          <w:szCs w:val="20"/>
        </w:rPr>
        <w:t>odstupanja.</w:t>
      </w:r>
    </w:p>
    <w:p w14:paraId="3E80FD33" w14:textId="15953867" w:rsidR="00C857F3" w:rsidRPr="001D49E7" w:rsidRDefault="00FB0288">
      <w:pPr>
        <w:pStyle w:val="Tijelotekst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1D49E7">
        <w:rPr>
          <w:rFonts w:asciiTheme="minorHAnsi" w:hAnsiTheme="minorHAnsi" w:cstheme="minorHAnsi"/>
          <w:sz w:val="20"/>
          <w:szCs w:val="20"/>
        </w:rPr>
        <w:t xml:space="preserve">Prihodi od </w:t>
      </w:r>
      <w:r w:rsidR="0078648D" w:rsidRPr="001D49E7">
        <w:rPr>
          <w:rFonts w:asciiTheme="minorHAnsi" w:hAnsiTheme="minorHAnsi" w:cstheme="minorHAnsi"/>
          <w:sz w:val="20"/>
          <w:szCs w:val="20"/>
        </w:rPr>
        <w:t xml:space="preserve"> </w:t>
      </w:r>
      <w:r w:rsidRPr="001D49E7">
        <w:rPr>
          <w:rFonts w:asciiTheme="minorHAnsi" w:hAnsiTheme="minorHAnsi" w:cstheme="minorHAnsi"/>
          <w:sz w:val="20"/>
          <w:szCs w:val="20"/>
        </w:rPr>
        <w:t>pomoći</w:t>
      </w:r>
      <w:r w:rsidR="0078648D" w:rsidRPr="001D49E7">
        <w:rPr>
          <w:rFonts w:asciiTheme="minorHAnsi" w:hAnsiTheme="minorHAnsi" w:cstheme="minorHAnsi"/>
          <w:sz w:val="20"/>
          <w:szCs w:val="20"/>
        </w:rPr>
        <w:t xml:space="preserve"> iz inozemstva i od subjekata unutar općeg proračuna ostvareni su u 2023. u odnosu na 2022. godinu u većem obimu</w:t>
      </w:r>
      <w:r w:rsidR="00C857F3" w:rsidRPr="001D49E7">
        <w:rPr>
          <w:rFonts w:asciiTheme="minorHAnsi" w:hAnsiTheme="minorHAnsi" w:cstheme="minorHAnsi"/>
          <w:sz w:val="20"/>
          <w:szCs w:val="20"/>
        </w:rPr>
        <w:t xml:space="preserve"> odnosno veći su za 576,80%</w:t>
      </w:r>
      <w:r w:rsidR="0078648D" w:rsidRPr="001D49E7">
        <w:rPr>
          <w:rFonts w:asciiTheme="minorHAnsi" w:hAnsiTheme="minorHAnsi" w:cstheme="minorHAnsi"/>
          <w:sz w:val="20"/>
          <w:szCs w:val="20"/>
        </w:rPr>
        <w:t xml:space="preserve">, a naročito prihodi od pomoći iz državnog proračuna </w:t>
      </w:r>
      <w:r w:rsidR="00C857F3" w:rsidRPr="001D49E7">
        <w:rPr>
          <w:rFonts w:asciiTheme="minorHAnsi" w:hAnsiTheme="minorHAnsi" w:cstheme="minorHAnsi"/>
          <w:sz w:val="20"/>
          <w:szCs w:val="20"/>
        </w:rPr>
        <w:t>temeljem prijenosa EU sredstava radi realizacije</w:t>
      </w:r>
      <w:r w:rsidRPr="001D49E7">
        <w:rPr>
          <w:rFonts w:asciiTheme="minorHAnsi" w:hAnsiTheme="minorHAnsi" w:cstheme="minorHAnsi"/>
          <w:sz w:val="20"/>
          <w:szCs w:val="20"/>
        </w:rPr>
        <w:t xml:space="preserve"> </w:t>
      </w:r>
      <w:r w:rsidR="00C857F3" w:rsidRPr="001D49E7">
        <w:rPr>
          <w:rFonts w:asciiTheme="minorHAnsi" w:hAnsiTheme="minorHAnsi" w:cstheme="minorHAnsi"/>
          <w:sz w:val="20"/>
          <w:szCs w:val="20"/>
        </w:rPr>
        <w:t xml:space="preserve"> projekata financiranih iz fonda solidarnosti EU. </w:t>
      </w:r>
      <w:r w:rsidRPr="001D49E7">
        <w:rPr>
          <w:rFonts w:asciiTheme="minorHAnsi" w:hAnsiTheme="minorHAnsi" w:cstheme="minorHAnsi"/>
          <w:sz w:val="20"/>
          <w:szCs w:val="20"/>
        </w:rPr>
        <w:t xml:space="preserve"> </w:t>
      </w:r>
      <w:r w:rsidR="00C857F3" w:rsidRPr="001D49E7">
        <w:rPr>
          <w:rFonts w:asciiTheme="minorHAnsi" w:hAnsiTheme="minorHAnsi" w:cstheme="minorHAnsi"/>
          <w:sz w:val="20"/>
          <w:szCs w:val="20"/>
        </w:rPr>
        <w:t xml:space="preserve">S druge strane važno je istaknuti da je krajem 2022. godine završilo petogodišnje razdoblje </w:t>
      </w:r>
      <w:r w:rsidR="00C857F3" w:rsidRPr="001D49E7">
        <w:rPr>
          <w:rFonts w:ascii="Calibri" w:hAnsi="Calibri" w:cs="Calibri"/>
          <w:sz w:val="20"/>
          <w:szCs w:val="20"/>
        </w:rPr>
        <w:t xml:space="preserve">isplate pomoći iz državnog proračuna  jedinicama lokalne i područne regionalne samouprave koje su ostvarile pravo na pomoć temeljem Članka 15. Zakona o financiranju jedinica lokalne i područne regionalne samouprave, a to je bila kompenzacijska mjera. To se odnosi i na Općinu Stubičke Toplice koja u 2023. godini i nadalje </w:t>
      </w:r>
      <w:r w:rsidR="00CE4263">
        <w:rPr>
          <w:rFonts w:ascii="Calibri" w:hAnsi="Calibri" w:cs="Calibri"/>
          <w:sz w:val="20"/>
          <w:szCs w:val="20"/>
        </w:rPr>
        <w:t>ne ostvaruje</w:t>
      </w:r>
      <w:r w:rsidR="00C857F3" w:rsidRPr="001D49E7">
        <w:rPr>
          <w:rFonts w:ascii="Calibri" w:hAnsi="Calibri" w:cs="Calibri"/>
          <w:sz w:val="20"/>
          <w:szCs w:val="20"/>
        </w:rPr>
        <w:t xml:space="preserve"> prihode od tekućih pomoći iz državnog proračuna. Novi prihod od pomoći u 2023. godini u odnosu na 2022. godinu je prihod od pomoći za fiskalnu održivost dječjih vrtića.</w:t>
      </w:r>
    </w:p>
    <w:p w14:paraId="08C82F55" w14:textId="77777777" w:rsidR="001612DC" w:rsidRPr="001D49E7" w:rsidRDefault="00FB0288" w:rsidP="00C857F3">
      <w:pPr>
        <w:pStyle w:val="Tijelotekst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1D49E7">
        <w:rPr>
          <w:rFonts w:asciiTheme="minorHAnsi" w:hAnsiTheme="minorHAnsi" w:cstheme="minorHAnsi"/>
          <w:sz w:val="20"/>
          <w:szCs w:val="20"/>
        </w:rPr>
        <w:t>S druge strane neznatno su povećani prihodi koji nisu u direktnoj vezi s kretanjem gospodarskih aktivnosti, a to su prihodi od imovine, prihodi od prodaje proizvoda i roba te pruženih usluga te kazne, upravne mjere i ostali prihodi.</w:t>
      </w:r>
    </w:p>
    <w:p w14:paraId="7BF48102" w14:textId="737B1335" w:rsidR="00146A32" w:rsidRPr="001D49E7" w:rsidRDefault="00FB0288" w:rsidP="00C857F3">
      <w:pPr>
        <w:pStyle w:val="Tijeloteksta"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1D49E7">
        <w:rPr>
          <w:rFonts w:asciiTheme="minorHAnsi" w:hAnsiTheme="minorHAnsi" w:cstheme="minorHAnsi"/>
          <w:sz w:val="20"/>
          <w:szCs w:val="20"/>
        </w:rPr>
        <w:t xml:space="preserve"> Prihodi od upravnih i administrativnih pristojbi, pristojbi po posebnim popisima i naknada  bilježe </w:t>
      </w:r>
      <w:r w:rsidR="001612DC" w:rsidRPr="001D49E7">
        <w:rPr>
          <w:rFonts w:asciiTheme="minorHAnsi" w:hAnsiTheme="minorHAnsi" w:cstheme="minorHAnsi"/>
          <w:sz w:val="20"/>
          <w:szCs w:val="20"/>
        </w:rPr>
        <w:t xml:space="preserve">porast u 2023. godini od 115,90%, a razlog povećanja je ostvareni prihod od komunalnog doprinosa naplaćenog za izgradnju dva veća građevinska objekta. </w:t>
      </w:r>
    </w:p>
    <w:p w14:paraId="34F480DB" w14:textId="19C023A7" w:rsidR="00192F81" w:rsidRPr="001D49E7" w:rsidRDefault="00FB0288" w:rsidP="008D313B">
      <w:pPr>
        <w:jc w:val="both"/>
        <w:rPr>
          <w:rFonts w:ascii="Calibri" w:hAnsi="Calibri" w:cs="Calibr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ab/>
        <w:t>U financijskom izvještaju za razdoblje od 01.01.202</w:t>
      </w:r>
      <w:r w:rsidR="000D19A2" w:rsidRPr="001D49E7">
        <w:rPr>
          <w:rFonts w:cstheme="minorHAnsi"/>
          <w:sz w:val="20"/>
          <w:szCs w:val="20"/>
        </w:rPr>
        <w:t>4</w:t>
      </w:r>
      <w:r w:rsidRPr="001D49E7">
        <w:rPr>
          <w:rFonts w:cstheme="minorHAnsi"/>
          <w:sz w:val="20"/>
          <w:szCs w:val="20"/>
        </w:rPr>
        <w:t>. do 30.09.202</w:t>
      </w:r>
      <w:r w:rsidR="000D19A2" w:rsidRPr="001D49E7">
        <w:rPr>
          <w:rFonts w:cstheme="minorHAnsi"/>
          <w:sz w:val="20"/>
          <w:szCs w:val="20"/>
        </w:rPr>
        <w:t>4</w:t>
      </w:r>
      <w:r w:rsidRPr="001D49E7">
        <w:rPr>
          <w:rFonts w:cstheme="minorHAnsi"/>
          <w:sz w:val="20"/>
          <w:szCs w:val="20"/>
        </w:rPr>
        <w:t xml:space="preserve">. ostvareno je za </w:t>
      </w:r>
      <w:r w:rsidR="000D19A2" w:rsidRPr="001D49E7">
        <w:rPr>
          <w:rFonts w:cstheme="minorHAnsi"/>
          <w:sz w:val="20"/>
          <w:szCs w:val="20"/>
        </w:rPr>
        <w:t>3,10</w:t>
      </w:r>
      <w:r w:rsidRPr="001D49E7">
        <w:rPr>
          <w:rFonts w:cstheme="minorHAnsi"/>
          <w:sz w:val="20"/>
          <w:szCs w:val="20"/>
        </w:rPr>
        <w:t>% više ukupnih prihoda u odnosu na isto razdoblje 202</w:t>
      </w:r>
      <w:r w:rsidR="000D19A2" w:rsidRPr="001D49E7">
        <w:rPr>
          <w:rFonts w:cstheme="minorHAnsi"/>
          <w:sz w:val="20"/>
          <w:szCs w:val="20"/>
        </w:rPr>
        <w:t>3</w:t>
      </w:r>
      <w:r w:rsidRPr="001D49E7">
        <w:rPr>
          <w:rFonts w:cstheme="minorHAnsi"/>
          <w:sz w:val="20"/>
          <w:szCs w:val="20"/>
        </w:rPr>
        <w:t xml:space="preserve">. godine. </w:t>
      </w:r>
      <w:r w:rsidR="000D19A2" w:rsidRPr="001D49E7">
        <w:rPr>
          <w:rFonts w:cstheme="minorHAnsi"/>
          <w:sz w:val="20"/>
          <w:szCs w:val="20"/>
        </w:rPr>
        <w:t xml:space="preserve">Ako se uzmu u obzir ukupni prihodi, nije bilo značajnijeg odstupanja, ali kad se usporede prihodi po vrstama </w:t>
      </w:r>
      <w:r w:rsidRPr="001D49E7">
        <w:rPr>
          <w:rFonts w:cstheme="minorHAnsi"/>
          <w:sz w:val="20"/>
          <w:szCs w:val="20"/>
        </w:rPr>
        <w:t>onda se može zaključiti da su prihodi od poreza u odnosu na prošlogodišnje razdoblje u porastu za 34,30%, a naročito prihodi od poreza na dohodak</w:t>
      </w:r>
      <w:r w:rsidR="00E31844" w:rsidRPr="001D49E7">
        <w:rPr>
          <w:rFonts w:cstheme="minorHAnsi"/>
          <w:sz w:val="20"/>
          <w:szCs w:val="20"/>
        </w:rPr>
        <w:t xml:space="preserve"> što se može objasniti porastom plaća. </w:t>
      </w:r>
      <w:r w:rsidRPr="001D49E7">
        <w:rPr>
          <w:rFonts w:cstheme="minorHAnsi"/>
          <w:sz w:val="20"/>
          <w:szCs w:val="20"/>
        </w:rPr>
        <w:t xml:space="preserve">Također su povećani prihodi od poreza na kuće za odmor radi toga </w:t>
      </w:r>
      <w:r w:rsidRPr="001D49E7">
        <w:rPr>
          <w:rFonts w:ascii="Calibri" w:hAnsi="Calibri" w:cs="Calibri"/>
          <w:sz w:val="20"/>
          <w:szCs w:val="20"/>
        </w:rPr>
        <w:t xml:space="preserve">što je od 01. siječnja 2024. na snazi izmjena Odluke o općinskim porezima prema kojoj </w:t>
      </w:r>
      <w:r w:rsidRPr="001D49E7">
        <w:rPr>
          <w:rFonts w:ascii="Calibri" w:hAnsi="Calibri" w:cs="Calibri"/>
          <w:sz w:val="20"/>
          <w:szCs w:val="20"/>
          <w:shd w:val="clear" w:color="auto" w:fill="FFFFFF"/>
        </w:rPr>
        <w:t>je utvrđena visina  poreza na kuće za odmor 3,00 eura po m</w:t>
      </w:r>
      <w:r w:rsidRPr="001D49E7">
        <w:rPr>
          <w:rFonts w:ascii="Calibri" w:hAnsi="Calibri" w:cs="Calibri"/>
          <w:sz w:val="20"/>
          <w:szCs w:val="20"/>
          <w:shd w:val="clear" w:color="auto" w:fill="FFFFFF"/>
          <w:vertAlign w:val="superscript"/>
        </w:rPr>
        <w:t>2</w:t>
      </w:r>
      <w:r w:rsidRPr="001D49E7">
        <w:rPr>
          <w:rFonts w:ascii="Calibri" w:hAnsi="Calibri" w:cs="Calibri"/>
          <w:sz w:val="20"/>
          <w:szCs w:val="20"/>
          <w:shd w:val="clear" w:color="auto" w:fill="FFFFFF"/>
        </w:rPr>
        <w:t xml:space="preserve"> korisne površine kuće za odmor dok je do 31.12.2023. godine to bilo 1,59 eura po m². Također su povećani prihodi od poreza na potrošnju, a </w:t>
      </w:r>
      <w:r w:rsidRPr="001D49E7">
        <w:rPr>
          <w:rFonts w:ascii="Calibri" w:hAnsi="Calibri" w:cs="Calibri"/>
          <w:sz w:val="20"/>
          <w:szCs w:val="20"/>
        </w:rPr>
        <w:t>razlog povećanja prihoda ove vrste jesu više cijene alkoholnih pića u odnosu na 2023. godinu, a ujedno i osnovice za obračun poreza na potrošnju. Usporedbom je također utvrđeno da su u porastu prihodi od imovine, prihodi od prodaje proizvoda i roba te pruženih usluga te prihodi od kazni upravnih mjera te ostali prihodi.</w:t>
      </w:r>
      <w:r w:rsidR="008D313B" w:rsidRPr="001D49E7">
        <w:rPr>
          <w:rFonts w:ascii="Calibri" w:hAnsi="Calibri" w:cs="Calibri"/>
          <w:sz w:val="20"/>
          <w:szCs w:val="20"/>
        </w:rPr>
        <w:t xml:space="preserve"> U padu su prihodi od pomoći radi toga što je u 2023. godini ostvaren prihod </w:t>
      </w:r>
      <w:r w:rsidR="008D313B" w:rsidRPr="001D49E7">
        <w:rPr>
          <w:rFonts w:cstheme="minorHAnsi"/>
          <w:sz w:val="20"/>
          <w:szCs w:val="20"/>
        </w:rPr>
        <w:t>sredstava radi realizacije projekata financiranih iz fonda solidarnosti EU, također su u padu prihodi od komunalnog doprinosa jer je u 2023. godini isti naplaćen za izgradnju dva veća objekta</w:t>
      </w:r>
      <w:r w:rsidR="00CD44F3">
        <w:rPr>
          <w:rFonts w:cstheme="minorHAnsi"/>
          <w:sz w:val="20"/>
          <w:szCs w:val="20"/>
        </w:rPr>
        <w:t xml:space="preserve"> dok je to u 2024. bilo u manjem iznosu.</w:t>
      </w:r>
    </w:p>
    <w:p w14:paraId="54F06B05" w14:textId="77777777" w:rsidR="00146A32" w:rsidRPr="001D49E7" w:rsidRDefault="00FB0288">
      <w:pPr>
        <w:pStyle w:val="Tijeloteksta"/>
        <w:jc w:val="center"/>
        <w:rPr>
          <w:rFonts w:asciiTheme="minorHAnsi" w:hAnsiTheme="minorHAnsi" w:cstheme="minorHAnsi"/>
          <w:sz w:val="20"/>
          <w:szCs w:val="20"/>
        </w:rPr>
      </w:pPr>
      <w:r w:rsidRPr="001D49E7">
        <w:rPr>
          <w:rFonts w:asciiTheme="minorHAnsi" w:hAnsiTheme="minorHAnsi" w:cstheme="minorHAnsi"/>
          <w:sz w:val="20"/>
          <w:szCs w:val="20"/>
        </w:rPr>
        <w:t>IZVJEŠTAJ O RASHODIMA I IZDACIMA</w:t>
      </w:r>
    </w:p>
    <w:p w14:paraId="26468372" w14:textId="77777777" w:rsidR="00146A32" w:rsidRPr="001D49E7" w:rsidRDefault="00146A32">
      <w:pPr>
        <w:pStyle w:val="Bezproreda"/>
        <w:spacing w:line="276" w:lineRule="auto"/>
        <w:rPr>
          <w:rFonts w:cstheme="minorHAnsi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559"/>
        <w:gridCol w:w="1559"/>
      </w:tblGrid>
      <w:tr w:rsidR="001D49E7" w:rsidRPr="001D49E7" w14:paraId="78FDB718" w14:textId="77777777">
        <w:tc>
          <w:tcPr>
            <w:tcW w:w="3397" w:type="dxa"/>
            <w:shd w:val="clear" w:color="auto" w:fill="B8CCE4" w:themeFill="accent1" w:themeFillTint="66"/>
          </w:tcPr>
          <w:p w14:paraId="7A2D8414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RASHODI I IZDACI PO VRSTI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3F30E109" w14:textId="2E0C37FA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31.12.202</w:t>
            </w:r>
            <w:r w:rsidR="00C86484" w:rsidRPr="001D49E7">
              <w:rPr>
                <w:rFonts w:cstheme="minorHAnsi"/>
                <w:b/>
                <w:sz w:val="18"/>
                <w:szCs w:val="18"/>
              </w:rPr>
              <w:t>2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5135F427" w14:textId="28BBECDD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31.12.202</w:t>
            </w:r>
            <w:r w:rsidR="00C86484" w:rsidRPr="001D49E7">
              <w:rPr>
                <w:rFonts w:cstheme="minorHAnsi"/>
                <w:b/>
                <w:sz w:val="18"/>
                <w:szCs w:val="18"/>
              </w:rPr>
              <w:t>3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1DE46CDD" w14:textId="164C701E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30.09.202</w:t>
            </w:r>
            <w:r w:rsidR="00C86484" w:rsidRPr="001D49E7">
              <w:rPr>
                <w:rFonts w:cstheme="minorHAnsi"/>
                <w:b/>
                <w:sz w:val="18"/>
                <w:szCs w:val="18"/>
              </w:rPr>
              <w:t>3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5F3114F4" w14:textId="7DC256D2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30.09.202</w:t>
            </w:r>
            <w:r w:rsidR="00C86484" w:rsidRPr="001D49E7">
              <w:rPr>
                <w:rFonts w:cstheme="minorHAnsi"/>
                <w:b/>
                <w:sz w:val="18"/>
                <w:szCs w:val="18"/>
              </w:rPr>
              <w:t>4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1D49E7" w:rsidRPr="001D49E7" w14:paraId="52CE7803" w14:textId="77777777">
        <w:tc>
          <w:tcPr>
            <w:tcW w:w="3397" w:type="dxa"/>
          </w:tcPr>
          <w:p w14:paraId="3866077C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Rashodi za zaposlene</w:t>
            </w:r>
          </w:p>
        </w:tc>
        <w:tc>
          <w:tcPr>
            <w:tcW w:w="1560" w:type="dxa"/>
          </w:tcPr>
          <w:p w14:paraId="721DA330" w14:textId="24C0F1EF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197.700,77</w:t>
            </w:r>
          </w:p>
        </w:tc>
        <w:tc>
          <w:tcPr>
            <w:tcW w:w="1701" w:type="dxa"/>
          </w:tcPr>
          <w:p w14:paraId="082F2F66" w14:textId="751E6724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196.769,35</w:t>
            </w:r>
          </w:p>
        </w:tc>
        <w:tc>
          <w:tcPr>
            <w:tcW w:w="1559" w:type="dxa"/>
          </w:tcPr>
          <w:p w14:paraId="6ED1AD51" w14:textId="121C663E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143.956,35</w:t>
            </w:r>
          </w:p>
        </w:tc>
        <w:tc>
          <w:tcPr>
            <w:tcW w:w="1559" w:type="dxa"/>
          </w:tcPr>
          <w:p w14:paraId="10D83DFB" w14:textId="53675FF2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213.291,66</w:t>
            </w:r>
          </w:p>
        </w:tc>
      </w:tr>
      <w:tr w:rsidR="001D49E7" w:rsidRPr="001D49E7" w14:paraId="5536E6CC" w14:textId="77777777">
        <w:trPr>
          <w:trHeight w:val="432"/>
        </w:trPr>
        <w:tc>
          <w:tcPr>
            <w:tcW w:w="3397" w:type="dxa"/>
          </w:tcPr>
          <w:p w14:paraId="55DEDCE9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Materijalni rashodi</w:t>
            </w:r>
          </w:p>
        </w:tc>
        <w:tc>
          <w:tcPr>
            <w:tcW w:w="1560" w:type="dxa"/>
          </w:tcPr>
          <w:p w14:paraId="2CFDBF71" w14:textId="5523C85F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480.829,27</w:t>
            </w:r>
          </w:p>
        </w:tc>
        <w:tc>
          <w:tcPr>
            <w:tcW w:w="1701" w:type="dxa"/>
          </w:tcPr>
          <w:p w14:paraId="08EEF286" w14:textId="211C24C6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531.065,47</w:t>
            </w:r>
          </w:p>
        </w:tc>
        <w:tc>
          <w:tcPr>
            <w:tcW w:w="1559" w:type="dxa"/>
          </w:tcPr>
          <w:p w14:paraId="4E9272F6" w14:textId="6462D5AB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383.135,21</w:t>
            </w:r>
          </w:p>
        </w:tc>
        <w:tc>
          <w:tcPr>
            <w:tcW w:w="1559" w:type="dxa"/>
          </w:tcPr>
          <w:p w14:paraId="7DBCF604" w14:textId="155FC063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612.677,43</w:t>
            </w:r>
          </w:p>
        </w:tc>
      </w:tr>
      <w:tr w:rsidR="001D49E7" w:rsidRPr="001D49E7" w14:paraId="6FAE7577" w14:textId="77777777">
        <w:tc>
          <w:tcPr>
            <w:tcW w:w="3397" w:type="dxa"/>
          </w:tcPr>
          <w:p w14:paraId="3640F6F4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Financijski rashodi</w:t>
            </w:r>
          </w:p>
        </w:tc>
        <w:tc>
          <w:tcPr>
            <w:tcW w:w="1560" w:type="dxa"/>
          </w:tcPr>
          <w:p w14:paraId="67ADA80A" w14:textId="06B0CE9C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5.565,68</w:t>
            </w:r>
          </w:p>
        </w:tc>
        <w:tc>
          <w:tcPr>
            <w:tcW w:w="1701" w:type="dxa"/>
          </w:tcPr>
          <w:p w14:paraId="06B25C33" w14:textId="4B5CD79A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14.062,08</w:t>
            </w:r>
          </w:p>
        </w:tc>
        <w:tc>
          <w:tcPr>
            <w:tcW w:w="1559" w:type="dxa"/>
          </w:tcPr>
          <w:p w14:paraId="0A8E2B01" w14:textId="42C4C7AD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10.278,62</w:t>
            </w:r>
          </w:p>
        </w:tc>
        <w:tc>
          <w:tcPr>
            <w:tcW w:w="1559" w:type="dxa"/>
          </w:tcPr>
          <w:p w14:paraId="2C2A593E" w14:textId="00E935C6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3.195,36</w:t>
            </w:r>
          </w:p>
        </w:tc>
      </w:tr>
      <w:tr w:rsidR="001D49E7" w:rsidRPr="001D49E7" w14:paraId="0CEA1043" w14:textId="77777777">
        <w:tc>
          <w:tcPr>
            <w:tcW w:w="3397" w:type="dxa"/>
          </w:tcPr>
          <w:p w14:paraId="12DD3D2F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Subvencije</w:t>
            </w:r>
          </w:p>
        </w:tc>
        <w:tc>
          <w:tcPr>
            <w:tcW w:w="1560" w:type="dxa"/>
          </w:tcPr>
          <w:p w14:paraId="0B92B79E" w14:textId="5FB066B0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1.843,69</w:t>
            </w:r>
          </w:p>
        </w:tc>
        <w:tc>
          <w:tcPr>
            <w:tcW w:w="1701" w:type="dxa"/>
          </w:tcPr>
          <w:p w14:paraId="4F0BA55F" w14:textId="4046057D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851,12</w:t>
            </w:r>
          </w:p>
        </w:tc>
        <w:tc>
          <w:tcPr>
            <w:tcW w:w="1559" w:type="dxa"/>
          </w:tcPr>
          <w:p w14:paraId="3FD13AD9" w14:textId="1A975C1E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672,96</w:t>
            </w:r>
          </w:p>
        </w:tc>
        <w:tc>
          <w:tcPr>
            <w:tcW w:w="1559" w:type="dxa"/>
          </w:tcPr>
          <w:p w14:paraId="0D97A037" w14:textId="48801FBD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270,00</w:t>
            </w:r>
          </w:p>
        </w:tc>
      </w:tr>
      <w:tr w:rsidR="001D49E7" w:rsidRPr="001D49E7" w14:paraId="647BD298" w14:textId="77777777">
        <w:tc>
          <w:tcPr>
            <w:tcW w:w="3397" w:type="dxa"/>
          </w:tcPr>
          <w:p w14:paraId="0A7E8940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560" w:type="dxa"/>
          </w:tcPr>
          <w:p w14:paraId="1F0CF7A5" w14:textId="2E93148F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288.351,57</w:t>
            </w:r>
          </w:p>
        </w:tc>
        <w:tc>
          <w:tcPr>
            <w:tcW w:w="1701" w:type="dxa"/>
          </w:tcPr>
          <w:p w14:paraId="4301DBD1" w14:textId="21DD7405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374.468,22</w:t>
            </w:r>
          </w:p>
        </w:tc>
        <w:tc>
          <w:tcPr>
            <w:tcW w:w="1559" w:type="dxa"/>
          </w:tcPr>
          <w:p w14:paraId="6B0BE83B" w14:textId="512E5224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269.674,30</w:t>
            </w:r>
          </w:p>
        </w:tc>
        <w:tc>
          <w:tcPr>
            <w:tcW w:w="1559" w:type="dxa"/>
          </w:tcPr>
          <w:p w14:paraId="1DD08B47" w14:textId="4000F780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389.437,58</w:t>
            </w:r>
          </w:p>
        </w:tc>
      </w:tr>
      <w:tr w:rsidR="001D49E7" w:rsidRPr="001D49E7" w14:paraId="2AF5A2D7" w14:textId="77777777">
        <w:tc>
          <w:tcPr>
            <w:tcW w:w="3397" w:type="dxa"/>
          </w:tcPr>
          <w:p w14:paraId="7D4B0D12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60" w:type="dxa"/>
          </w:tcPr>
          <w:p w14:paraId="4141F903" w14:textId="7F0F4AC3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120.863,52</w:t>
            </w:r>
          </w:p>
        </w:tc>
        <w:tc>
          <w:tcPr>
            <w:tcW w:w="1701" w:type="dxa"/>
          </w:tcPr>
          <w:p w14:paraId="21AF3078" w14:textId="42C5E5D5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138.838,82</w:t>
            </w:r>
          </w:p>
        </w:tc>
        <w:tc>
          <w:tcPr>
            <w:tcW w:w="1559" w:type="dxa"/>
          </w:tcPr>
          <w:p w14:paraId="20B7F2D6" w14:textId="3E755B33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85.635,49</w:t>
            </w:r>
          </w:p>
        </w:tc>
        <w:tc>
          <w:tcPr>
            <w:tcW w:w="1559" w:type="dxa"/>
          </w:tcPr>
          <w:p w14:paraId="2E73C913" w14:textId="574F3757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122.675,21</w:t>
            </w:r>
          </w:p>
        </w:tc>
      </w:tr>
      <w:tr w:rsidR="001D49E7" w:rsidRPr="001D49E7" w14:paraId="714FD86B" w14:textId="77777777">
        <w:tc>
          <w:tcPr>
            <w:tcW w:w="3397" w:type="dxa"/>
          </w:tcPr>
          <w:p w14:paraId="2C74C9C7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Ostali rashodi (donacije)</w:t>
            </w:r>
          </w:p>
        </w:tc>
        <w:tc>
          <w:tcPr>
            <w:tcW w:w="1560" w:type="dxa"/>
          </w:tcPr>
          <w:p w14:paraId="65F4D9BD" w14:textId="41FAC91C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162.695,21</w:t>
            </w:r>
          </w:p>
        </w:tc>
        <w:tc>
          <w:tcPr>
            <w:tcW w:w="1701" w:type="dxa"/>
          </w:tcPr>
          <w:p w14:paraId="4F77AD01" w14:textId="4A9F70C9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223.449,76</w:t>
            </w:r>
          </w:p>
        </w:tc>
        <w:tc>
          <w:tcPr>
            <w:tcW w:w="1559" w:type="dxa"/>
          </w:tcPr>
          <w:p w14:paraId="32B94C51" w14:textId="7DFA0464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166.233,74</w:t>
            </w:r>
          </w:p>
        </w:tc>
        <w:tc>
          <w:tcPr>
            <w:tcW w:w="1559" w:type="dxa"/>
          </w:tcPr>
          <w:p w14:paraId="7D9C5402" w14:textId="5E58C1A6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208.075,38</w:t>
            </w:r>
          </w:p>
        </w:tc>
      </w:tr>
      <w:tr w:rsidR="001D49E7" w:rsidRPr="001D49E7" w14:paraId="1DAFA040" w14:textId="77777777">
        <w:tc>
          <w:tcPr>
            <w:tcW w:w="3397" w:type="dxa"/>
            <w:shd w:val="clear" w:color="auto" w:fill="DBE5F1" w:themeFill="accent1" w:themeFillTint="33"/>
          </w:tcPr>
          <w:p w14:paraId="1F2E7F47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UKUPNO RASHODI POSLOVANJA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7C38DE49" w14:textId="0C7761B8" w:rsidR="00146A32" w:rsidRPr="001D49E7" w:rsidRDefault="00C86484" w:rsidP="00C86484">
            <w:pPr>
              <w:pStyle w:val="Bezproreda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1.257.849,71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235273A2" w14:textId="784649CF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1.479.504,82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FD6BC31" w14:textId="40976863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1.059.586,67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CC7F284" w14:textId="7C2064F5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1.549.622,62</w:t>
            </w:r>
          </w:p>
        </w:tc>
      </w:tr>
      <w:tr w:rsidR="001D49E7" w:rsidRPr="001D49E7" w14:paraId="33624DDD" w14:textId="77777777">
        <w:tc>
          <w:tcPr>
            <w:tcW w:w="3397" w:type="dxa"/>
          </w:tcPr>
          <w:p w14:paraId="75A3791C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560" w:type="dxa"/>
          </w:tcPr>
          <w:p w14:paraId="50841612" w14:textId="48D0D743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129.336,72</w:t>
            </w:r>
          </w:p>
        </w:tc>
        <w:tc>
          <w:tcPr>
            <w:tcW w:w="1701" w:type="dxa"/>
          </w:tcPr>
          <w:p w14:paraId="641DA12D" w14:textId="61149F76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14:paraId="76F640AC" w14:textId="575B04D1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14:paraId="2BA9FD2C" w14:textId="67312FE2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1D49E7" w:rsidRPr="001D49E7" w14:paraId="10C5AE52" w14:textId="77777777">
        <w:tc>
          <w:tcPr>
            <w:tcW w:w="3397" w:type="dxa"/>
          </w:tcPr>
          <w:p w14:paraId="5D51D8B2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60" w:type="dxa"/>
          </w:tcPr>
          <w:p w14:paraId="3364A6A5" w14:textId="6EBC8629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248.648,55</w:t>
            </w:r>
          </w:p>
        </w:tc>
        <w:tc>
          <w:tcPr>
            <w:tcW w:w="1701" w:type="dxa"/>
          </w:tcPr>
          <w:p w14:paraId="0B6BC789" w14:textId="51470A06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1.098.940,13</w:t>
            </w:r>
          </w:p>
        </w:tc>
        <w:tc>
          <w:tcPr>
            <w:tcW w:w="1559" w:type="dxa"/>
          </w:tcPr>
          <w:p w14:paraId="65F0E204" w14:textId="439FA73D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954.820,66</w:t>
            </w:r>
          </w:p>
        </w:tc>
        <w:tc>
          <w:tcPr>
            <w:tcW w:w="1559" w:type="dxa"/>
          </w:tcPr>
          <w:p w14:paraId="6FD9C774" w14:textId="77E7B652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244.951,19</w:t>
            </w:r>
          </w:p>
        </w:tc>
      </w:tr>
      <w:tr w:rsidR="001D49E7" w:rsidRPr="001D49E7" w14:paraId="01C29630" w14:textId="77777777">
        <w:tc>
          <w:tcPr>
            <w:tcW w:w="3397" w:type="dxa"/>
          </w:tcPr>
          <w:p w14:paraId="0ABD38F7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lastRenderedPageBreak/>
              <w:t>Rashodi za dodatna ulaganja na nefinancijskoj imovini</w:t>
            </w:r>
          </w:p>
        </w:tc>
        <w:tc>
          <w:tcPr>
            <w:tcW w:w="1560" w:type="dxa"/>
          </w:tcPr>
          <w:p w14:paraId="43DE70F4" w14:textId="036B7446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217,67</w:t>
            </w:r>
          </w:p>
        </w:tc>
        <w:tc>
          <w:tcPr>
            <w:tcW w:w="1701" w:type="dxa"/>
          </w:tcPr>
          <w:p w14:paraId="5ABE37D9" w14:textId="1A8ED45D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13.684,74</w:t>
            </w:r>
          </w:p>
        </w:tc>
        <w:tc>
          <w:tcPr>
            <w:tcW w:w="1559" w:type="dxa"/>
          </w:tcPr>
          <w:p w14:paraId="6CEEB423" w14:textId="5F10630C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2.014,74</w:t>
            </w:r>
          </w:p>
        </w:tc>
        <w:tc>
          <w:tcPr>
            <w:tcW w:w="1559" w:type="dxa"/>
          </w:tcPr>
          <w:p w14:paraId="0B882A11" w14:textId="406C229A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48.495,85</w:t>
            </w:r>
          </w:p>
        </w:tc>
      </w:tr>
      <w:tr w:rsidR="001D49E7" w:rsidRPr="001D49E7" w14:paraId="3CDCEBA0" w14:textId="77777777">
        <w:tc>
          <w:tcPr>
            <w:tcW w:w="3397" w:type="dxa"/>
            <w:shd w:val="clear" w:color="auto" w:fill="DBE5F1" w:themeFill="accent1" w:themeFillTint="33"/>
          </w:tcPr>
          <w:p w14:paraId="210851E8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UKUPNO RASHODI ZA NABAVU NEFINANCIJSKE IMOVINE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0C972A6D" w14:textId="66A2B2A7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378.202,94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80B3969" w14:textId="5F267D30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1.112.624,87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58E26755" w14:textId="297C3347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956.835,40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0D1D6CA0" w14:textId="56DFC2E8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293.447,04</w:t>
            </w:r>
          </w:p>
        </w:tc>
      </w:tr>
      <w:tr w:rsidR="001D49E7" w:rsidRPr="001D49E7" w14:paraId="5732A975" w14:textId="77777777">
        <w:tc>
          <w:tcPr>
            <w:tcW w:w="3397" w:type="dxa"/>
            <w:shd w:val="clear" w:color="auto" w:fill="FFFFFF" w:themeFill="background1"/>
          </w:tcPr>
          <w:p w14:paraId="024832A2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560" w:type="dxa"/>
            <w:shd w:val="clear" w:color="auto" w:fill="FFFFFF" w:themeFill="background1"/>
          </w:tcPr>
          <w:p w14:paraId="57327F3C" w14:textId="1F5828EB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32.074,41</w:t>
            </w:r>
          </w:p>
        </w:tc>
        <w:tc>
          <w:tcPr>
            <w:tcW w:w="1701" w:type="dxa"/>
            <w:shd w:val="clear" w:color="auto" w:fill="FFFFFF" w:themeFill="background1"/>
          </w:tcPr>
          <w:p w14:paraId="336C2297" w14:textId="6CF0B864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32.074,44</w:t>
            </w:r>
          </w:p>
        </w:tc>
        <w:tc>
          <w:tcPr>
            <w:tcW w:w="1559" w:type="dxa"/>
            <w:shd w:val="clear" w:color="auto" w:fill="FFFFFF" w:themeFill="background1"/>
          </w:tcPr>
          <w:p w14:paraId="4B75A160" w14:textId="66C397AC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24.055,83</w:t>
            </w:r>
          </w:p>
        </w:tc>
        <w:tc>
          <w:tcPr>
            <w:tcW w:w="1559" w:type="dxa"/>
            <w:shd w:val="clear" w:color="auto" w:fill="FFFFFF" w:themeFill="background1"/>
          </w:tcPr>
          <w:p w14:paraId="33DA426A" w14:textId="3548A6E1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24.055,83</w:t>
            </w:r>
          </w:p>
        </w:tc>
      </w:tr>
      <w:tr w:rsidR="001D49E7" w:rsidRPr="001D49E7" w14:paraId="50DEC349" w14:textId="77777777">
        <w:tc>
          <w:tcPr>
            <w:tcW w:w="3397" w:type="dxa"/>
            <w:shd w:val="clear" w:color="auto" w:fill="DBE5F1" w:themeFill="accent1" w:themeFillTint="33"/>
          </w:tcPr>
          <w:p w14:paraId="4D9BDC3F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UKUPNO IZDACI: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68B57076" w14:textId="4B331EE1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32.074,41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A012D7E" w14:textId="5F7DAAA7" w:rsidR="00146A32" w:rsidRPr="001D49E7" w:rsidRDefault="00C8648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32.074,44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6566AEF" w14:textId="21248765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24.055,83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300BD45D" w14:textId="5018D6D9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1D49E7">
              <w:rPr>
                <w:rFonts w:cstheme="minorHAnsi"/>
                <w:bCs/>
                <w:sz w:val="18"/>
                <w:szCs w:val="18"/>
              </w:rPr>
              <w:t>24.055,83</w:t>
            </w:r>
          </w:p>
        </w:tc>
      </w:tr>
      <w:tr w:rsidR="001D49E7" w:rsidRPr="001D49E7" w14:paraId="50B006EC" w14:textId="77777777">
        <w:tc>
          <w:tcPr>
            <w:tcW w:w="3397" w:type="dxa"/>
            <w:shd w:val="clear" w:color="auto" w:fill="B8CCE4" w:themeFill="accent1" w:themeFillTint="66"/>
          </w:tcPr>
          <w:p w14:paraId="0CF696A6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UKUPNO RASHODI I IZDACI: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2EE903BF" w14:textId="4A0D39BC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1.668.127,06</w:t>
            </w:r>
            <w:r w:rsidR="00C86484" w:rsidRPr="001D49E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364780C8" w14:textId="1A2DCE51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2.624.204,13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DD0D48C" w14:textId="5EFC2B89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2.040.477,90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5F300801" w14:textId="13E8485B" w:rsidR="00146A32" w:rsidRPr="001D49E7" w:rsidRDefault="00FA1A0E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1.867.125,49</w:t>
            </w:r>
          </w:p>
        </w:tc>
      </w:tr>
    </w:tbl>
    <w:p w14:paraId="0C066F8B" w14:textId="77777777" w:rsidR="00146A32" w:rsidRPr="001D49E7" w:rsidRDefault="00146A32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14:paraId="6DF1D8DF" w14:textId="5BA22AF4" w:rsidR="00146A32" w:rsidRPr="001D49E7" w:rsidRDefault="00FB0288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Usporedbom izvršenja ukupnih rashoda proračuna za 202</w:t>
      </w:r>
      <w:r w:rsidR="00824942" w:rsidRPr="001D49E7">
        <w:rPr>
          <w:rFonts w:cstheme="minorHAnsi"/>
          <w:sz w:val="20"/>
          <w:szCs w:val="20"/>
        </w:rPr>
        <w:t>3</w:t>
      </w:r>
      <w:r w:rsidRPr="001D49E7">
        <w:rPr>
          <w:rFonts w:cstheme="minorHAnsi"/>
          <w:sz w:val="20"/>
          <w:szCs w:val="20"/>
        </w:rPr>
        <w:t>. godinu u odnosu na 202</w:t>
      </w:r>
      <w:r w:rsidR="00824942" w:rsidRPr="001D49E7">
        <w:rPr>
          <w:rFonts w:cstheme="minorHAnsi"/>
          <w:sz w:val="20"/>
          <w:szCs w:val="20"/>
        </w:rPr>
        <w:t>2</w:t>
      </w:r>
      <w:r w:rsidRPr="001D49E7">
        <w:rPr>
          <w:rFonts w:cstheme="minorHAnsi"/>
          <w:sz w:val="20"/>
          <w:szCs w:val="20"/>
        </w:rPr>
        <w:t xml:space="preserve">. godinu, vidljivo je da su ukupni rashodi i izdaci povećani za </w:t>
      </w:r>
      <w:r w:rsidR="0013188E" w:rsidRPr="001D49E7">
        <w:rPr>
          <w:rFonts w:cstheme="minorHAnsi"/>
          <w:sz w:val="20"/>
          <w:szCs w:val="20"/>
        </w:rPr>
        <w:t>57,30</w:t>
      </w:r>
      <w:r w:rsidRPr="001D49E7">
        <w:rPr>
          <w:rFonts w:cstheme="minorHAnsi"/>
          <w:sz w:val="20"/>
          <w:szCs w:val="20"/>
        </w:rPr>
        <w:t>%</w:t>
      </w:r>
      <w:r w:rsidR="0013188E" w:rsidRPr="001D49E7">
        <w:rPr>
          <w:rFonts w:cstheme="minorHAnsi"/>
          <w:sz w:val="20"/>
          <w:szCs w:val="20"/>
        </w:rPr>
        <w:t xml:space="preserve"> te je porast rashoda pratio porast prihoda. </w:t>
      </w:r>
      <w:r w:rsidRPr="001D49E7">
        <w:rPr>
          <w:rFonts w:cstheme="minorHAnsi"/>
          <w:sz w:val="20"/>
          <w:szCs w:val="20"/>
        </w:rPr>
        <w:t>Evidentno je povećanje gotovo svih rashoda poslovanja  i rashoda za nabavu nefinancijske imovine</w:t>
      </w:r>
      <w:r w:rsidR="0013188E" w:rsidRPr="001D49E7">
        <w:rPr>
          <w:rFonts w:cstheme="minorHAnsi"/>
          <w:sz w:val="20"/>
          <w:szCs w:val="20"/>
        </w:rPr>
        <w:t>.</w:t>
      </w:r>
      <w:r w:rsidRPr="001D49E7">
        <w:rPr>
          <w:rFonts w:cstheme="minorHAnsi"/>
          <w:sz w:val="20"/>
          <w:szCs w:val="20"/>
        </w:rPr>
        <w:t xml:space="preserve"> U 202</w:t>
      </w:r>
      <w:r w:rsidR="0013188E" w:rsidRPr="001D49E7">
        <w:rPr>
          <w:rFonts w:cstheme="minorHAnsi"/>
          <w:sz w:val="20"/>
          <w:szCs w:val="20"/>
        </w:rPr>
        <w:t>3</w:t>
      </w:r>
      <w:r w:rsidRPr="001D49E7">
        <w:rPr>
          <w:rFonts w:cstheme="minorHAnsi"/>
          <w:sz w:val="20"/>
          <w:szCs w:val="20"/>
        </w:rPr>
        <w:t>. godini nastavljena je otplata kredita za realizaciju projekta modernizacije i rekonstrukcije javne rasvjete na području Općine Stubičke Toplice te je plaćeno dvanaest rata i u odnosu na 202</w:t>
      </w:r>
      <w:r w:rsidR="0013188E" w:rsidRPr="001D49E7">
        <w:rPr>
          <w:rFonts w:cstheme="minorHAnsi"/>
          <w:sz w:val="20"/>
          <w:szCs w:val="20"/>
        </w:rPr>
        <w:t>2</w:t>
      </w:r>
      <w:r w:rsidRPr="001D49E7">
        <w:rPr>
          <w:rFonts w:cstheme="minorHAnsi"/>
          <w:sz w:val="20"/>
          <w:szCs w:val="20"/>
        </w:rPr>
        <w:t>. godinu nije bilo odstupanja jer je rata kredita cijelo vrijeme otplate ista.</w:t>
      </w:r>
    </w:p>
    <w:p w14:paraId="7219D7BF" w14:textId="738AE851" w:rsidR="00146A32" w:rsidRPr="001D49E7" w:rsidRDefault="00FB0288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U financijskom izvještaju  za razdoblje od 01.01.202</w:t>
      </w:r>
      <w:r w:rsidR="0013188E" w:rsidRPr="001D49E7">
        <w:rPr>
          <w:rFonts w:cstheme="minorHAnsi"/>
          <w:sz w:val="20"/>
          <w:szCs w:val="20"/>
        </w:rPr>
        <w:t>4</w:t>
      </w:r>
      <w:r w:rsidRPr="001D49E7">
        <w:rPr>
          <w:rFonts w:cstheme="minorHAnsi"/>
          <w:sz w:val="20"/>
          <w:szCs w:val="20"/>
        </w:rPr>
        <w:t>. do 30.09.202</w:t>
      </w:r>
      <w:r w:rsidR="0013188E" w:rsidRPr="001D49E7">
        <w:rPr>
          <w:rFonts w:cstheme="minorHAnsi"/>
          <w:sz w:val="20"/>
          <w:szCs w:val="20"/>
        </w:rPr>
        <w:t>4</w:t>
      </w:r>
      <w:r w:rsidRPr="001D49E7">
        <w:rPr>
          <w:rFonts w:cstheme="minorHAnsi"/>
          <w:sz w:val="20"/>
          <w:szCs w:val="20"/>
        </w:rPr>
        <w:t xml:space="preserve">. evidentno je da su ukupni rashodi i izdaci u navedenom razdoblju </w:t>
      </w:r>
      <w:r w:rsidR="0013188E" w:rsidRPr="001D49E7">
        <w:rPr>
          <w:rFonts w:cstheme="minorHAnsi"/>
          <w:sz w:val="20"/>
          <w:szCs w:val="20"/>
        </w:rPr>
        <w:t>manji</w:t>
      </w:r>
      <w:r w:rsidRPr="001D49E7">
        <w:rPr>
          <w:rFonts w:cstheme="minorHAnsi"/>
          <w:sz w:val="20"/>
          <w:szCs w:val="20"/>
        </w:rPr>
        <w:t xml:space="preserve"> za </w:t>
      </w:r>
      <w:r w:rsidR="0013188E" w:rsidRPr="001D49E7">
        <w:rPr>
          <w:rFonts w:cstheme="minorHAnsi"/>
          <w:sz w:val="20"/>
          <w:szCs w:val="20"/>
        </w:rPr>
        <w:t>8,50</w:t>
      </w:r>
      <w:r w:rsidRPr="001D49E7">
        <w:rPr>
          <w:rFonts w:cstheme="minorHAnsi"/>
          <w:sz w:val="20"/>
          <w:szCs w:val="20"/>
        </w:rPr>
        <w:t>% u odnosu na isto razdoblje 202</w:t>
      </w:r>
      <w:r w:rsidR="0013188E" w:rsidRPr="001D49E7">
        <w:rPr>
          <w:rFonts w:cstheme="minorHAnsi"/>
          <w:sz w:val="20"/>
          <w:szCs w:val="20"/>
        </w:rPr>
        <w:t>3</w:t>
      </w:r>
      <w:r w:rsidRPr="001D49E7">
        <w:rPr>
          <w:rFonts w:cstheme="minorHAnsi"/>
          <w:sz w:val="20"/>
          <w:szCs w:val="20"/>
        </w:rPr>
        <w:t xml:space="preserve">. godine. Rashodi poslovanja su povećani </w:t>
      </w:r>
      <w:r w:rsidRPr="001D49E7">
        <w:rPr>
          <w:rFonts w:ascii="Calibri" w:hAnsi="Calibri" w:cs="Calibri"/>
          <w:bCs/>
          <w:sz w:val="18"/>
          <w:szCs w:val="18"/>
        </w:rPr>
        <w:t>u odnosu na isto izvještajno razdoblje protekle godine, a</w:t>
      </w:r>
      <w:r w:rsidRPr="001D49E7">
        <w:rPr>
          <w:rFonts w:cstheme="minorHAnsi"/>
          <w:sz w:val="20"/>
          <w:szCs w:val="20"/>
        </w:rPr>
        <w:t xml:space="preserve"> radi povećanja troškova </w:t>
      </w:r>
      <w:r w:rsidRPr="001D49E7">
        <w:rPr>
          <w:rFonts w:ascii="Calibri" w:hAnsi="Calibri" w:cs="Calibri"/>
          <w:bCs/>
          <w:sz w:val="20"/>
          <w:szCs w:val="20"/>
        </w:rPr>
        <w:t>realizacije programa, aktivnosti i projekata na</w:t>
      </w:r>
      <w:r w:rsidR="00CD44F3">
        <w:rPr>
          <w:rFonts w:ascii="Calibri" w:hAnsi="Calibri" w:cs="Calibri"/>
          <w:bCs/>
          <w:sz w:val="20"/>
          <w:szCs w:val="20"/>
        </w:rPr>
        <w:t>r</w:t>
      </w:r>
      <w:r w:rsidRPr="001D49E7">
        <w:rPr>
          <w:rFonts w:ascii="Calibri" w:hAnsi="Calibri" w:cs="Calibri"/>
          <w:bCs/>
          <w:sz w:val="20"/>
          <w:szCs w:val="20"/>
        </w:rPr>
        <w:t xml:space="preserve">očito u predškolskom i osnovnoškolskom obrazovanju, tekućem održavanju postojeće komunalne infrastrukture kako bi se održala funkcionalnost iste. </w:t>
      </w:r>
      <w:r w:rsidRPr="001D49E7">
        <w:rPr>
          <w:rFonts w:cstheme="minorHAnsi"/>
          <w:sz w:val="20"/>
          <w:szCs w:val="20"/>
        </w:rPr>
        <w:t xml:space="preserve">Naročito su veći materijalni rashodi, pomoći i donacije. Nastavilo se  sa financiranjem programa u </w:t>
      </w:r>
      <w:r w:rsidRPr="001D49E7">
        <w:rPr>
          <w:rFonts w:ascii="Calibri" w:hAnsi="Calibri" w:cs="Calibri"/>
          <w:bCs/>
          <w:sz w:val="20"/>
          <w:szCs w:val="20"/>
        </w:rPr>
        <w:t xml:space="preserve">kulturi i sportu, javnom redu i sigurnosti, zaštiti okoliša, u socijalnoj zaštiti najugroženijih skupina stanovništva. </w:t>
      </w:r>
      <w:r w:rsidRPr="001D49E7">
        <w:rPr>
          <w:rFonts w:cstheme="minorHAnsi"/>
          <w:sz w:val="20"/>
          <w:szCs w:val="20"/>
        </w:rPr>
        <w:t xml:space="preserve">Rashodi za nabavu nefinancijske imovine, u odnosu na isto razdoblje protekle godine manji su </w:t>
      </w:r>
      <w:r w:rsidR="002922EF" w:rsidRPr="001D49E7">
        <w:rPr>
          <w:rFonts w:cstheme="minorHAnsi"/>
          <w:sz w:val="20"/>
          <w:szCs w:val="20"/>
        </w:rPr>
        <w:t>za 69,30</w:t>
      </w:r>
      <w:r w:rsidRPr="001D49E7">
        <w:rPr>
          <w:rFonts w:cstheme="minorHAnsi"/>
          <w:sz w:val="20"/>
          <w:szCs w:val="20"/>
        </w:rPr>
        <w:t xml:space="preserve">%. </w:t>
      </w:r>
      <w:r w:rsidR="002922EF" w:rsidRPr="001D49E7">
        <w:rPr>
          <w:rFonts w:cstheme="minorHAnsi"/>
          <w:sz w:val="20"/>
          <w:szCs w:val="20"/>
        </w:rPr>
        <w:t xml:space="preserve"> </w:t>
      </w:r>
      <w:r w:rsidRPr="001D49E7">
        <w:rPr>
          <w:rFonts w:cstheme="minorHAnsi"/>
          <w:sz w:val="20"/>
          <w:szCs w:val="20"/>
        </w:rPr>
        <w:t xml:space="preserve"> </w:t>
      </w:r>
      <w:r w:rsidR="002922EF" w:rsidRPr="001D49E7">
        <w:rPr>
          <w:rFonts w:cstheme="minorHAnsi"/>
          <w:sz w:val="20"/>
          <w:szCs w:val="20"/>
        </w:rPr>
        <w:t xml:space="preserve"> </w:t>
      </w:r>
    </w:p>
    <w:p w14:paraId="39E1049A" w14:textId="77777777" w:rsidR="00146A32" w:rsidRPr="001D49E7" w:rsidRDefault="00146A32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087A684F" w14:textId="77777777" w:rsidR="00146A32" w:rsidRPr="001D49E7" w:rsidRDefault="00FB0288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1D49E7">
        <w:rPr>
          <w:rFonts w:cstheme="minorHAnsi"/>
          <w:b/>
          <w:bCs/>
          <w:sz w:val="20"/>
          <w:szCs w:val="20"/>
        </w:rPr>
        <w:t>REZULTAT POSLOVANJA</w:t>
      </w:r>
    </w:p>
    <w:p w14:paraId="5B004270" w14:textId="77777777" w:rsidR="00146A32" w:rsidRPr="001D49E7" w:rsidRDefault="00146A32">
      <w:pPr>
        <w:pStyle w:val="Bezproreda"/>
        <w:spacing w:line="276" w:lineRule="auto"/>
        <w:rPr>
          <w:rFonts w:cstheme="minorHAnsi"/>
          <w:sz w:val="18"/>
          <w:szCs w:val="18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60"/>
        <w:gridCol w:w="1559"/>
      </w:tblGrid>
      <w:tr w:rsidR="001D49E7" w:rsidRPr="001D49E7" w14:paraId="67FDDE13" w14:textId="77777777">
        <w:tc>
          <w:tcPr>
            <w:tcW w:w="3114" w:type="dxa"/>
            <w:shd w:val="clear" w:color="auto" w:fill="B8CCE4" w:themeFill="accent1" w:themeFillTint="66"/>
          </w:tcPr>
          <w:p w14:paraId="3401B52E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0906E2B" w14:textId="58F814F1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31.12.202</w:t>
            </w:r>
            <w:r w:rsidR="00192F81" w:rsidRPr="001D49E7">
              <w:rPr>
                <w:rFonts w:cstheme="minorHAnsi"/>
                <w:b/>
                <w:sz w:val="18"/>
                <w:szCs w:val="18"/>
              </w:rPr>
              <w:t>2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FDF33E5" w14:textId="2E2F5C19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31.12.202</w:t>
            </w:r>
            <w:r w:rsidR="00192F81" w:rsidRPr="001D49E7">
              <w:rPr>
                <w:rFonts w:cstheme="minorHAnsi"/>
                <w:b/>
                <w:sz w:val="18"/>
                <w:szCs w:val="18"/>
              </w:rPr>
              <w:t>3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30D6D4F3" w14:textId="407EB5F9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30.09.202</w:t>
            </w:r>
            <w:r w:rsidR="00192F81" w:rsidRPr="001D49E7">
              <w:rPr>
                <w:rFonts w:cstheme="minorHAnsi"/>
                <w:b/>
                <w:sz w:val="18"/>
                <w:szCs w:val="18"/>
              </w:rPr>
              <w:t>3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3CB43263" w14:textId="289C34EE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49E7">
              <w:rPr>
                <w:rFonts w:cstheme="minorHAnsi"/>
                <w:b/>
                <w:sz w:val="18"/>
                <w:szCs w:val="18"/>
              </w:rPr>
              <w:t>IZVRŠENJE 30.09.202</w:t>
            </w:r>
            <w:r w:rsidR="00192F81" w:rsidRPr="001D49E7">
              <w:rPr>
                <w:rFonts w:cstheme="minorHAnsi"/>
                <w:b/>
                <w:sz w:val="18"/>
                <w:szCs w:val="18"/>
              </w:rPr>
              <w:t>4</w:t>
            </w:r>
            <w:r w:rsidRPr="001D49E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1D49E7" w:rsidRPr="001D49E7" w14:paraId="4353BBD5" w14:textId="77777777">
        <w:tc>
          <w:tcPr>
            <w:tcW w:w="3114" w:type="dxa"/>
          </w:tcPr>
          <w:p w14:paraId="113D5E24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Ukupni prihodi</w:t>
            </w:r>
          </w:p>
        </w:tc>
        <w:tc>
          <w:tcPr>
            <w:tcW w:w="1559" w:type="dxa"/>
          </w:tcPr>
          <w:p w14:paraId="1913482F" w14:textId="2556CA60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1.617.879,84</w:t>
            </w:r>
          </w:p>
        </w:tc>
        <w:tc>
          <w:tcPr>
            <w:tcW w:w="1559" w:type="dxa"/>
          </w:tcPr>
          <w:p w14:paraId="061DA642" w14:textId="5CAC745D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2.931.525,51</w:t>
            </w:r>
          </w:p>
        </w:tc>
        <w:tc>
          <w:tcPr>
            <w:tcW w:w="1560" w:type="dxa"/>
          </w:tcPr>
          <w:p w14:paraId="56C36E1F" w14:textId="2E55FED6" w:rsidR="00146A32" w:rsidRPr="001D49E7" w:rsidRDefault="00DA68AB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1.748.559,00</w:t>
            </w:r>
          </w:p>
        </w:tc>
        <w:tc>
          <w:tcPr>
            <w:tcW w:w="1559" w:type="dxa"/>
          </w:tcPr>
          <w:p w14:paraId="0714C845" w14:textId="3FC3D0CF" w:rsidR="00146A32" w:rsidRPr="001D49E7" w:rsidRDefault="00DA68AB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1.802.049,07</w:t>
            </w:r>
          </w:p>
        </w:tc>
      </w:tr>
      <w:tr w:rsidR="001D49E7" w:rsidRPr="001D49E7" w14:paraId="67A0CB2C" w14:textId="77777777">
        <w:tc>
          <w:tcPr>
            <w:tcW w:w="3114" w:type="dxa"/>
          </w:tcPr>
          <w:p w14:paraId="7E59C021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Ukupni primici</w:t>
            </w:r>
          </w:p>
        </w:tc>
        <w:tc>
          <w:tcPr>
            <w:tcW w:w="1559" w:type="dxa"/>
          </w:tcPr>
          <w:p w14:paraId="542CA574" w14:textId="77777777" w:rsidR="00146A32" w:rsidRPr="001D49E7" w:rsidRDefault="00FB0288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0,00 kn</w:t>
            </w:r>
          </w:p>
        </w:tc>
        <w:tc>
          <w:tcPr>
            <w:tcW w:w="1559" w:type="dxa"/>
          </w:tcPr>
          <w:p w14:paraId="4FD42988" w14:textId="77777777" w:rsidR="00146A32" w:rsidRPr="001D49E7" w:rsidRDefault="00FB0288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0,00 kn</w:t>
            </w:r>
          </w:p>
        </w:tc>
        <w:tc>
          <w:tcPr>
            <w:tcW w:w="1560" w:type="dxa"/>
          </w:tcPr>
          <w:p w14:paraId="194A30CF" w14:textId="77777777" w:rsidR="00146A32" w:rsidRPr="001D49E7" w:rsidRDefault="00FB0288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0,00 kn</w:t>
            </w:r>
          </w:p>
        </w:tc>
        <w:tc>
          <w:tcPr>
            <w:tcW w:w="1559" w:type="dxa"/>
          </w:tcPr>
          <w:p w14:paraId="4E3F25FA" w14:textId="77777777" w:rsidR="00146A32" w:rsidRPr="001D49E7" w:rsidRDefault="00FB0288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0,00 kn</w:t>
            </w:r>
          </w:p>
        </w:tc>
      </w:tr>
      <w:tr w:rsidR="001D49E7" w:rsidRPr="001D49E7" w14:paraId="33374BEF" w14:textId="77777777">
        <w:tc>
          <w:tcPr>
            <w:tcW w:w="3114" w:type="dxa"/>
          </w:tcPr>
          <w:p w14:paraId="1E9F51A5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Ukupni rashodi</w:t>
            </w:r>
          </w:p>
        </w:tc>
        <w:tc>
          <w:tcPr>
            <w:tcW w:w="1559" w:type="dxa"/>
          </w:tcPr>
          <w:p w14:paraId="20C3D5A8" w14:textId="6A7E8D8D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1.636.052,65</w:t>
            </w:r>
          </w:p>
        </w:tc>
        <w:tc>
          <w:tcPr>
            <w:tcW w:w="1559" w:type="dxa"/>
          </w:tcPr>
          <w:p w14:paraId="50008B94" w14:textId="7164C151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2.592.129,69</w:t>
            </w:r>
          </w:p>
        </w:tc>
        <w:tc>
          <w:tcPr>
            <w:tcW w:w="1560" w:type="dxa"/>
          </w:tcPr>
          <w:p w14:paraId="182A0082" w14:textId="47A4B6A4" w:rsidR="00146A32" w:rsidRPr="001D49E7" w:rsidRDefault="00DA68AB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2.016.422,07</w:t>
            </w:r>
          </w:p>
        </w:tc>
        <w:tc>
          <w:tcPr>
            <w:tcW w:w="1559" w:type="dxa"/>
          </w:tcPr>
          <w:p w14:paraId="36A6AC93" w14:textId="5FF83E42" w:rsidR="00146A32" w:rsidRPr="001D49E7" w:rsidRDefault="00DA68AB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1.843.069,66</w:t>
            </w:r>
          </w:p>
        </w:tc>
      </w:tr>
      <w:tr w:rsidR="001D49E7" w:rsidRPr="001D49E7" w14:paraId="3FBAED96" w14:textId="77777777">
        <w:tc>
          <w:tcPr>
            <w:tcW w:w="3114" w:type="dxa"/>
          </w:tcPr>
          <w:p w14:paraId="6B68E311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Ukupni izdaci</w:t>
            </w:r>
          </w:p>
        </w:tc>
        <w:tc>
          <w:tcPr>
            <w:tcW w:w="1559" w:type="dxa"/>
          </w:tcPr>
          <w:p w14:paraId="5F581F1F" w14:textId="62FF93DD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32.074,41</w:t>
            </w:r>
          </w:p>
        </w:tc>
        <w:tc>
          <w:tcPr>
            <w:tcW w:w="1559" w:type="dxa"/>
          </w:tcPr>
          <w:p w14:paraId="168143CD" w14:textId="677800DF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32.074,44</w:t>
            </w:r>
          </w:p>
        </w:tc>
        <w:tc>
          <w:tcPr>
            <w:tcW w:w="1560" w:type="dxa"/>
          </w:tcPr>
          <w:p w14:paraId="025D9AFF" w14:textId="03979628" w:rsidR="00146A32" w:rsidRPr="001D49E7" w:rsidRDefault="000D19A2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24.055,83</w:t>
            </w:r>
          </w:p>
        </w:tc>
        <w:tc>
          <w:tcPr>
            <w:tcW w:w="1559" w:type="dxa"/>
          </w:tcPr>
          <w:p w14:paraId="68848A4F" w14:textId="5C01A845" w:rsidR="00146A32" w:rsidRPr="001D49E7" w:rsidRDefault="000D19A2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24.055,83</w:t>
            </w:r>
          </w:p>
        </w:tc>
      </w:tr>
      <w:tr w:rsidR="001D49E7" w:rsidRPr="001D49E7" w14:paraId="50C03643" w14:textId="77777777">
        <w:tc>
          <w:tcPr>
            <w:tcW w:w="3114" w:type="dxa"/>
          </w:tcPr>
          <w:p w14:paraId="01397B1F" w14:textId="77777777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Financijski rezultat</w:t>
            </w:r>
          </w:p>
        </w:tc>
        <w:tc>
          <w:tcPr>
            <w:tcW w:w="1559" w:type="dxa"/>
          </w:tcPr>
          <w:p w14:paraId="2FAA417F" w14:textId="5CB6A270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-50.247,22</w:t>
            </w:r>
          </w:p>
        </w:tc>
        <w:tc>
          <w:tcPr>
            <w:tcW w:w="1559" w:type="dxa"/>
          </w:tcPr>
          <w:p w14:paraId="4DA7CC23" w14:textId="1075621F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307.321,38</w:t>
            </w:r>
          </w:p>
        </w:tc>
        <w:tc>
          <w:tcPr>
            <w:tcW w:w="1560" w:type="dxa"/>
          </w:tcPr>
          <w:p w14:paraId="2D98F90E" w14:textId="7FE4F664" w:rsidR="00146A32" w:rsidRPr="001D49E7" w:rsidRDefault="000D19A2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 xml:space="preserve">-291.918,90 </w:t>
            </w:r>
          </w:p>
        </w:tc>
        <w:tc>
          <w:tcPr>
            <w:tcW w:w="1559" w:type="dxa"/>
          </w:tcPr>
          <w:p w14:paraId="29E852E0" w14:textId="04471EA8" w:rsidR="00146A32" w:rsidRPr="001D49E7" w:rsidRDefault="000D19A2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-65.076,42</w:t>
            </w:r>
          </w:p>
        </w:tc>
      </w:tr>
      <w:tr w:rsidR="001D49E7" w:rsidRPr="001D49E7" w14:paraId="42979E8F" w14:textId="77777777">
        <w:tc>
          <w:tcPr>
            <w:tcW w:w="3114" w:type="dxa"/>
          </w:tcPr>
          <w:p w14:paraId="78EE8ED7" w14:textId="11524C12" w:rsidR="00146A32" w:rsidRPr="001D49E7" w:rsidRDefault="00FB0288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 xml:space="preserve">Preneseni </w:t>
            </w:r>
            <w:r w:rsidR="00192F81" w:rsidRPr="001D49E7">
              <w:rPr>
                <w:rFonts w:cstheme="minorHAnsi"/>
                <w:sz w:val="18"/>
                <w:szCs w:val="18"/>
              </w:rPr>
              <w:t>višak/</w:t>
            </w:r>
            <w:r w:rsidRPr="001D49E7">
              <w:rPr>
                <w:rFonts w:cstheme="minorHAnsi"/>
                <w:sz w:val="18"/>
                <w:szCs w:val="18"/>
              </w:rPr>
              <w:t>manjak iz prethodnih godina</w:t>
            </w:r>
          </w:p>
        </w:tc>
        <w:tc>
          <w:tcPr>
            <w:tcW w:w="1559" w:type="dxa"/>
          </w:tcPr>
          <w:p w14:paraId="3202A097" w14:textId="1D3D1340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-168.539,67</w:t>
            </w:r>
          </w:p>
        </w:tc>
        <w:tc>
          <w:tcPr>
            <w:tcW w:w="1559" w:type="dxa"/>
          </w:tcPr>
          <w:p w14:paraId="4CA48F60" w14:textId="2D5DDBE5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-218.786,89</w:t>
            </w:r>
          </w:p>
        </w:tc>
        <w:tc>
          <w:tcPr>
            <w:tcW w:w="1560" w:type="dxa"/>
          </w:tcPr>
          <w:p w14:paraId="59692069" w14:textId="6677A1D7" w:rsidR="00146A32" w:rsidRPr="001D49E7" w:rsidRDefault="000D19A2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-218.786,89</w:t>
            </w:r>
          </w:p>
        </w:tc>
        <w:tc>
          <w:tcPr>
            <w:tcW w:w="1559" w:type="dxa"/>
          </w:tcPr>
          <w:p w14:paraId="66AE2A3F" w14:textId="3CF2BFBE" w:rsidR="00146A32" w:rsidRPr="001D49E7" w:rsidRDefault="000D19A2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88.534,49</w:t>
            </w:r>
          </w:p>
        </w:tc>
      </w:tr>
      <w:tr w:rsidR="000D19A2" w:rsidRPr="001D49E7" w14:paraId="00D9A0CB" w14:textId="77777777">
        <w:tc>
          <w:tcPr>
            <w:tcW w:w="3114" w:type="dxa"/>
          </w:tcPr>
          <w:p w14:paraId="4DAAAE76" w14:textId="544E98D7" w:rsidR="00146A32" w:rsidRPr="001D49E7" w:rsidRDefault="00192F81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Višak/</w:t>
            </w:r>
            <w:r w:rsidR="00FB0288" w:rsidRPr="001D49E7">
              <w:rPr>
                <w:rFonts w:cstheme="minorHAnsi"/>
                <w:sz w:val="18"/>
                <w:szCs w:val="18"/>
              </w:rPr>
              <w:t xml:space="preserve">Manjak za </w:t>
            </w:r>
            <w:r w:rsidRPr="001D49E7">
              <w:rPr>
                <w:rFonts w:cstheme="minorHAnsi"/>
                <w:sz w:val="18"/>
                <w:szCs w:val="18"/>
              </w:rPr>
              <w:t>raspoloživ/</w:t>
            </w:r>
            <w:r w:rsidR="00FB0288" w:rsidRPr="001D49E7">
              <w:rPr>
                <w:rFonts w:cstheme="minorHAnsi"/>
                <w:sz w:val="18"/>
                <w:szCs w:val="18"/>
              </w:rPr>
              <w:t>pokriće u sljedećem razdoblju</w:t>
            </w:r>
          </w:p>
        </w:tc>
        <w:tc>
          <w:tcPr>
            <w:tcW w:w="1559" w:type="dxa"/>
          </w:tcPr>
          <w:p w14:paraId="4F54DB7E" w14:textId="744FD28F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-218.786,89</w:t>
            </w:r>
          </w:p>
        </w:tc>
        <w:tc>
          <w:tcPr>
            <w:tcW w:w="1559" w:type="dxa"/>
          </w:tcPr>
          <w:p w14:paraId="7E8008EE" w14:textId="6500979C" w:rsidR="00146A32" w:rsidRPr="001D49E7" w:rsidRDefault="00192F81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88.534,49</w:t>
            </w:r>
          </w:p>
        </w:tc>
        <w:tc>
          <w:tcPr>
            <w:tcW w:w="1560" w:type="dxa"/>
          </w:tcPr>
          <w:p w14:paraId="045EE271" w14:textId="79E16483" w:rsidR="00146A32" w:rsidRPr="001D49E7" w:rsidRDefault="000D19A2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-510.705,79</w:t>
            </w:r>
          </w:p>
        </w:tc>
        <w:tc>
          <w:tcPr>
            <w:tcW w:w="1559" w:type="dxa"/>
          </w:tcPr>
          <w:p w14:paraId="73C8FE88" w14:textId="3156EF4F" w:rsidR="00146A32" w:rsidRPr="001D49E7" w:rsidRDefault="000D19A2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1D49E7">
              <w:rPr>
                <w:rFonts w:cstheme="minorHAnsi"/>
                <w:sz w:val="18"/>
                <w:szCs w:val="18"/>
              </w:rPr>
              <w:t>23.458,07</w:t>
            </w:r>
          </w:p>
        </w:tc>
      </w:tr>
    </w:tbl>
    <w:p w14:paraId="37FA491D" w14:textId="77777777" w:rsidR="00146A32" w:rsidRPr="001D49E7" w:rsidRDefault="00146A32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17D3AE50" w14:textId="7EA595DC" w:rsidR="00146A32" w:rsidRPr="001D49E7" w:rsidRDefault="00FB0288" w:rsidP="004B2CB9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 xml:space="preserve">Preneseni manjak prihoda i primitaka </w:t>
      </w:r>
      <w:r w:rsidR="002922EF" w:rsidRPr="001D49E7">
        <w:rPr>
          <w:rFonts w:cstheme="minorHAnsi"/>
          <w:sz w:val="20"/>
          <w:szCs w:val="20"/>
        </w:rPr>
        <w:t xml:space="preserve">iz 2022. u 2023. godinu </w:t>
      </w:r>
      <w:r w:rsidRPr="001D49E7">
        <w:rPr>
          <w:rFonts w:cstheme="minorHAnsi"/>
          <w:sz w:val="20"/>
          <w:szCs w:val="20"/>
        </w:rPr>
        <w:t xml:space="preserve">posljedica je višegodišnjih nepovoljnih gospodarskih kretanja u hrvatskom gospodarstvu. </w:t>
      </w:r>
      <w:r w:rsidRPr="001D49E7">
        <w:rPr>
          <w:rFonts w:eastAsia="Times New Roman" w:cstheme="minorHAnsi"/>
          <w:sz w:val="20"/>
          <w:szCs w:val="20"/>
          <w:lang w:eastAsia="hr-HR"/>
        </w:rPr>
        <w:t xml:space="preserve">Početak 2022. godine donio je brojne izazove: još uvijek </w:t>
      </w:r>
      <w:r w:rsidR="002922EF" w:rsidRPr="001D49E7">
        <w:rPr>
          <w:rFonts w:eastAsia="Times New Roman" w:cstheme="minorHAnsi"/>
          <w:sz w:val="20"/>
          <w:szCs w:val="20"/>
          <w:lang w:eastAsia="hr-HR"/>
        </w:rPr>
        <w:t xml:space="preserve">su se </w:t>
      </w:r>
      <w:r w:rsidRPr="001D49E7">
        <w:rPr>
          <w:rFonts w:eastAsia="Times New Roman" w:cstheme="minorHAnsi"/>
          <w:sz w:val="20"/>
          <w:szCs w:val="20"/>
          <w:lang w:eastAsia="hr-HR"/>
        </w:rPr>
        <w:t>osjeća</w:t>
      </w:r>
      <w:r w:rsidR="002922EF" w:rsidRPr="001D49E7">
        <w:rPr>
          <w:rFonts w:eastAsia="Times New Roman" w:cstheme="minorHAnsi"/>
          <w:sz w:val="20"/>
          <w:szCs w:val="20"/>
          <w:lang w:eastAsia="hr-HR"/>
        </w:rPr>
        <w:t>le</w:t>
      </w:r>
      <w:r w:rsidRPr="001D49E7">
        <w:rPr>
          <w:rFonts w:eastAsia="Times New Roman" w:cstheme="minorHAnsi"/>
          <w:sz w:val="20"/>
          <w:szCs w:val="20"/>
          <w:lang w:eastAsia="hr-HR"/>
        </w:rPr>
        <w:t xml:space="preserve"> posljedice pandemija bolesti COVID-19</w:t>
      </w:r>
      <w:r w:rsidR="002922EF" w:rsidRPr="001D49E7">
        <w:rPr>
          <w:rFonts w:eastAsia="Times New Roman" w:cstheme="minorHAnsi"/>
          <w:sz w:val="20"/>
          <w:szCs w:val="20"/>
          <w:lang w:eastAsia="hr-HR"/>
        </w:rPr>
        <w:t xml:space="preserve"> te</w:t>
      </w:r>
      <w:r w:rsidRPr="001D49E7">
        <w:rPr>
          <w:rFonts w:eastAsia="Times New Roman" w:cstheme="minorHAnsi"/>
          <w:sz w:val="20"/>
          <w:szCs w:val="20"/>
          <w:lang w:eastAsia="hr-HR"/>
        </w:rPr>
        <w:t xml:space="preserve"> kriza vezana za energente</w:t>
      </w:r>
      <w:r w:rsidRPr="001D49E7">
        <w:rPr>
          <w:rFonts w:cstheme="minorHAnsi"/>
          <w:sz w:val="20"/>
          <w:szCs w:val="20"/>
        </w:rPr>
        <w:t xml:space="preserve"> </w:t>
      </w:r>
      <w:r w:rsidRPr="001D49E7">
        <w:rPr>
          <w:rFonts w:eastAsia="Times New Roman" w:cstheme="minorHAnsi"/>
          <w:sz w:val="20"/>
          <w:szCs w:val="20"/>
          <w:lang w:eastAsia="hr-HR"/>
        </w:rPr>
        <w:t xml:space="preserve">i rat u Ukrajini </w:t>
      </w:r>
      <w:r w:rsidR="002922EF" w:rsidRPr="001D49E7">
        <w:rPr>
          <w:rFonts w:eastAsia="Times New Roman" w:cstheme="minorHAnsi"/>
          <w:sz w:val="20"/>
          <w:szCs w:val="20"/>
          <w:lang w:eastAsia="hr-HR"/>
        </w:rPr>
        <w:t xml:space="preserve">te su se </w:t>
      </w:r>
      <w:r w:rsidRPr="001D49E7">
        <w:rPr>
          <w:rFonts w:eastAsia="Times New Roman" w:cstheme="minorHAnsi"/>
          <w:sz w:val="20"/>
          <w:szCs w:val="20"/>
          <w:lang w:eastAsia="hr-HR"/>
        </w:rPr>
        <w:t xml:space="preserve">negativno </w:t>
      </w:r>
      <w:r w:rsidR="002922EF" w:rsidRPr="001D49E7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1D49E7">
        <w:rPr>
          <w:rFonts w:eastAsia="Times New Roman" w:cstheme="minorHAnsi"/>
          <w:sz w:val="20"/>
          <w:szCs w:val="20"/>
          <w:lang w:eastAsia="hr-HR"/>
        </w:rPr>
        <w:t xml:space="preserve"> odrazili na globalno, a time i hrvatsko gospodarstvo</w:t>
      </w:r>
      <w:r w:rsidR="002922EF" w:rsidRPr="001D49E7">
        <w:rPr>
          <w:rFonts w:eastAsia="Times New Roman" w:cstheme="minorHAnsi"/>
          <w:sz w:val="20"/>
          <w:szCs w:val="20"/>
          <w:lang w:eastAsia="hr-HR"/>
        </w:rPr>
        <w:t>.</w:t>
      </w:r>
      <w:r w:rsidRPr="001D49E7">
        <w:rPr>
          <w:rFonts w:eastAsia="Times New Roman" w:cstheme="minorHAnsi"/>
          <w:sz w:val="20"/>
          <w:szCs w:val="20"/>
          <w:lang w:eastAsia="hr-HR"/>
        </w:rPr>
        <w:t xml:space="preserve"> Sve je to imalo za posljedicu poremećaje na tržištu i značajno poskupljenje sirovina, osobito građevinskog materijala i goriva, zatim porast cijene rada, roba i usluga i nedostatak radne snage, što se posebno odrazilo na građevinski sektor. </w:t>
      </w:r>
      <w:r w:rsidR="004B2CB9" w:rsidRPr="001D49E7">
        <w:rPr>
          <w:rFonts w:cstheme="minorHAnsi"/>
          <w:sz w:val="20"/>
          <w:szCs w:val="20"/>
        </w:rPr>
        <w:t xml:space="preserve">Preneseni manjak prihoda je ujedno posljedica slučajeva u kojima Općina Stubičke Toplice planira i realizira projekte za koji treba osigurati financiranje iz svojih općih prihoda jer se u navedenom razdoblju nalazila u VII skupini indeksa razvijenosti za koju se uglavnom prijavom na natječaje odobrava manji postotak sufinanciranja ili nije moguća prijava obzirom na pripadnost VII skupini razvijenosti. </w:t>
      </w:r>
      <w:r w:rsidRPr="001D49E7">
        <w:rPr>
          <w:rFonts w:eastAsia="Times New Roman" w:cstheme="minorHAnsi"/>
          <w:sz w:val="20"/>
          <w:szCs w:val="20"/>
          <w:lang w:eastAsia="hr-HR"/>
        </w:rPr>
        <w:t xml:space="preserve">Nadalje, </w:t>
      </w:r>
      <w:r w:rsidR="004B2CB9" w:rsidRPr="001D49E7">
        <w:rPr>
          <w:rFonts w:eastAsia="Times New Roman" w:cstheme="minorHAnsi"/>
          <w:sz w:val="20"/>
          <w:szCs w:val="20"/>
          <w:lang w:eastAsia="hr-HR"/>
        </w:rPr>
        <w:t xml:space="preserve">u naznačenom razdoblju </w:t>
      </w:r>
      <w:r w:rsidRPr="001D49E7">
        <w:rPr>
          <w:rFonts w:eastAsia="Times New Roman" w:cstheme="minorHAnsi"/>
          <w:sz w:val="20"/>
          <w:szCs w:val="20"/>
          <w:lang w:eastAsia="hr-HR"/>
        </w:rPr>
        <w:t>suočeni smo</w:t>
      </w:r>
      <w:r w:rsidR="004B2CB9" w:rsidRPr="001D49E7">
        <w:rPr>
          <w:rFonts w:eastAsia="Times New Roman" w:cstheme="minorHAnsi"/>
          <w:sz w:val="20"/>
          <w:szCs w:val="20"/>
          <w:lang w:eastAsia="hr-HR"/>
        </w:rPr>
        <w:t xml:space="preserve"> bili</w:t>
      </w:r>
      <w:r w:rsidRPr="001D49E7">
        <w:rPr>
          <w:rFonts w:eastAsia="Times New Roman" w:cstheme="minorHAnsi"/>
          <w:sz w:val="20"/>
          <w:szCs w:val="20"/>
          <w:lang w:eastAsia="hr-HR"/>
        </w:rPr>
        <w:t xml:space="preserve"> s pojavom inflacije</w:t>
      </w:r>
      <w:r w:rsidR="002922EF" w:rsidRPr="001D49E7">
        <w:rPr>
          <w:rFonts w:eastAsia="Times New Roman" w:cstheme="minorHAnsi"/>
          <w:sz w:val="20"/>
          <w:szCs w:val="20"/>
          <w:lang w:eastAsia="hr-HR"/>
        </w:rPr>
        <w:t xml:space="preserve"> i uvođenj</w:t>
      </w:r>
      <w:r w:rsidR="004B2CB9" w:rsidRPr="001D49E7">
        <w:rPr>
          <w:rFonts w:eastAsia="Times New Roman" w:cstheme="minorHAnsi"/>
          <w:sz w:val="20"/>
          <w:szCs w:val="20"/>
          <w:lang w:eastAsia="hr-HR"/>
        </w:rPr>
        <w:t>em</w:t>
      </w:r>
      <w:r w:rsidR="002922EF" w:rsidRPr="001D49E7">
        <w:rPr>
          <w:rFonts w:eastAsia="Times New Roman" w:cstheme="minorHAnsi"/>
          <w:sz w:val="20"/>
          <w:szCs w:val="20"/>
          <w:lang w:eastAsia="hr-HR"/>
        </w:rPr>
        <w:t xml:space="preserve"> valute euro </w:t>
      </w:r>
      <w:r w:rsidR="004B2CB9" w:rsidRPr="001D49E7">
        <w:rPr>
          <w:rFonts w:eastAsia="Times New Roman" w:cstheme="minorHAnsi"/>
          <w:sz w:val="20"/>
          <w:szCs w:val="20"/>
          <w:lang w:eastAsia="hr-HR"/>
        </w:rPr>
        <w:t>s</w:t>
      </w:r>
      <w:r w:rsidR="002922EF" w:rsidRPr="001D49E7">
        <w:rPr>
          <w:rFonts w:eastAsia="Times New Roman" w:cstheme="minorHAnsi"/>
          <w:sz w:val="20"/>
          <w:szCs w:val="20"/>
          <w:lang w:eastAsia="hr-HR"/>
        </w:rPr>
        <w:t xml:space="preserve"> početkom 2023. godine.</w:t>
      </w:r>
      <w:r w:rsidR="00F961C5" w:rsidRPr="001D49E7">
        <w:rPr>
          <w:rFonts w:eastAsia="Times New Roman" w:cstheme="minorHAnsi"/>
          <w:sz w:val="20"/>
          <w:szCs w:val="20"/>
          <w:lang w:eastAsia="hr-HR"/>
        </w:rPr>
        <w:t xml:space="preserve"> Stoga je u 2023. donesen manjak prihoda. </w:t>
      </w:r>
      <w:r w:rsidRPr="001D49E7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2ED2EAA9" w14:textId="73300A70" w:rsidR="00146A32" w:rsidRPr="001D49E7" w:rsidRDefault="00F961C5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U</w:t>
      </w:r>
      <w:r w:rsidR="00FB0288" w:rsidRPr="001D49E7">
        <w:rPr>
          <w:rFonts w:cstheme="minorHAnsi"/>
          <w:sz w:val="20"/>
          <w:szCs w:val="20"/>
        </w:rPr>
        <w:t xml:space="preserve">sporedbom razdoblja </w:t>
      </w:r>
      <w:r w:rsidRPr="001D49E7">
        <w:rPr>
          <w:rFonts w:cstheme="minorHAnsi"/>
          <w:sz w:val="20"/>
          <w:szCs w:val="20"/>
        </w:rPr>
        <w:t>31.12.2022.</w:t>
      </w:r>
      <w:r w:rsidR="00FB0288" w:rsidRPr="001D49E7">
        <w:rPr>
          <w:rFonts w:cstheme="minorHAnsi"/>
          <w:sz w:val="20"/>
          <w:szCs w:val="20"/>
        </w:rPr>
        <w:t xml:space="preserve"> i </w:t>
      </w:r>
      <w:r w:rsidRPr="001D49E7">
        <w:rPr>
          <w:rFonts w:cstheme="minorHAnsi"/>
          <w:sz w:val="20"/>
          <w:szCs w:val="20"/>
        </w:rPr>
        <w:t>31.12.2023</w:t>
      </w:r>
      <w:r w:rsidR="00FB0288" w:rsidRPr="001D49E7">
        <w:rPr>
          <w:rFonts w:cstheme="minorHAnsi"/>
          <w:sz w:val="20"/>
          <w:szCs w:val="20"/>
        </w:rPr>
        <w:t xml:space="preserve">. </w:t>
      </w:r>
      <w:r w:rsidR="00CD44F3">
        <w:rPr>
          <w:rFonts w:cstheme="minorHAnsi"/>
          <w:sz w:val="20"/>
          <w:szCs w:val="20"/>
        </w:rPr>
        <w:t xml:space="preserve">godine </w:t>
      </w:r>
      <w:r w:rsidRPr="001D49E7">
        <w:rPr>
          <w:rFonts w:cstheme="minorHAnsi"/>
          <w:sz w:val="20"/>
          <w:szCs w:val="20"/>
        </w:rPr>
        <w:t>vidljivo je da je</w:t>
      </w:r>
      <w:r w:rsidR="004B2CB9" w:rsidRPr="001D49E7">
        <w:rPr>
          <w:rFonts w:cstheme="minorHAnsi"/>
          <w:sz w:val="20"/>
          <w:szCs w:val="20"/>
        </w:rPr>
        <w:t xml:space="preserve"> na kraju 2023. godine</w:t>
      </w:r>
      <w:r w:rsidRPr="001D49E7">
        <w:rPr>
          <w:rFonts w:cstheme="minorHAnsi"/>
          <w:sz w:val="20"/>
          <w:szCs w:val="20"/>
        </w:rPr>
        <w:t xml:space="preserve">  ostvareno 81,20% </w:t>
      </w:r>
      <w:r w:rsidR="00FB0288" w:rsidRPr="001D49E7">
        <w:rPr>
          <w:rFonts w:cstheme="minorHAnsi"/>
          <w:sz w:val="20"/>
          <w:szCs w:val="20"/>
        </w:rPr>
        <w:t xml:space="preserve"> više</w:t>
      </w:r>
      <w:r w:rsidRPr="001D49E7">
        <w:rPr>
          <w:rFonts w:cstheme="minorHAnsi"/>
          <w:sz w:val="20"/>
          <w:szCs w:val="20"/>
        </w:rPr>
        <w:t xml:space="preserve"> prihoda</w:t>
      </w:r>
      <w:r w:rsidR="00FB0288" w:rsidRPr="001D49E7">
        <w:rPr>
          <w:rFonts w:cstheme="minorHAnsi"/>
          <w:sz w:val="20"/>
          <w:szCs w:val="20"/>
        </w:rPr>
        <w:t>,  s druge strane povećani su</w:t>
      </w:r>
      <w:r w:rsidRPr="001D49E7">
        <w:rPr>
          <w:rFonts w:cstheme="minorHAnsi"/>
          <w:sz w:val="20"/>
          <w:szCs w:val="20"/>
        </w:rPr>
        <w:t xml:space="preserve"> i</w:t>
      </w:r>
      <w:r w:rsidR="00FB0288" w:rsidRPr="001D49E7">
        <w:rPr>
          <w:rFonts w:cstheme="minorHAnsi"/>
          <w:sz w:val="20"/>
          <w:szCs w:val="20"/>
        </w:rPr>
        <w:t xml:space="preserve"> rashodi</w:t>
      </w:r>
      <w:r w:rsidRPr="001D49E7">
        <w:rPr>
          <w:rFonts w:cstheme="minorHAnsi"/>
          <w:sz w:val="20"/>
          <w:szCs w:val="20"/>
        </w:rPr>
        <w:t xml:space="preserve">,  ali </w:t>
      </w:r>
      <w:r w:rsidR="004B2CB9" w:rsidRPr="001D49E7">
        <w:rPr>
          <w:rFonts w:cstheme="minorHAnsi"/>
          <w:sz w:val="20"/>
          <w:szCs w:val="20"/>
        </w:rPr>
        <w:t>su</w:t>
      </w:r>
      <w:r w:rsidRPr="001D49E7">
        <w:rPr>
          <w:rFonts w:cstheme="minorHAnsi"/>
          <w:sz w:val="20"/>
          <w:szCs w:val="20"/>
        </w:rPr>
        <w:t xml:space="preserve"> </w:t>
      </w:r>
      <w:r w:rsidR="004B2CB9" w:rsidRPr="001D49E7">
        <w:rPr>
          <w:rFonts w:cstheme="minorHAnsi"/>
          <w:sz w:val="20"/>
          <w:szCs w:val="20"/>
        </w:rPr>
        <w:t xml:space="preserve">radi ostvarenja pomoći prijavom na natječaj  </w:t>
      </w:r>
      <w:r w:rsidR="004B2CB9" w:rsidRPr="001D49E7">
        <w:rPr>
          <w:rFonts w:cstheme="minorHAnsi"/>
          <w:sz w:val="20"/>
          <w:szCs w:val="20"/>
        </w:rPr>
        <w:lastRenderedPageBreak/>
        <w:t>oslobođeni porezni prihodi (opći prihodi i primici) te je uz maksimalnu racionalizaciju rashoda rezultat na kraju 2023. godine bio pozitivan, odnosno pokriven je višegodišnji manjak i ostvaren je višak koji je prenesen u 2024. godinu. Preneseni višak</w:t>
      </w:r>
      <w:r w:rsidR="000F7B67" w:rsidRPr="001D49E7">
        <w:rPr>
          <w:rFonts w:cstheme="minorHAnsi"/>
          <w:sz w:val="20"/>
          <w:szCs w:val="20"/>
        </w:rPr>
        <w:t xml:space="preserve"> je prvom izmjenom proračuna Općine Stubičke Toplice za </w:t>
      </w:r>
      <w:r w:rsidR="004B2CB9" w:rsidRPr="001D49E7">
        <w:rPr>
          <w:rFonts w:cstheme="minorHAnsi"/>
          <w:sz w:val="20"/>
          <w:szCs w:val="20"/>
        </w:rPr>
        <w:t xml:space="preserve"> 2024. godini raspoređen na provođenje aktivnosti i projekata</w:t>
      </w:r>
      <w:r w:rsidR="000F7B67" w:rsidRPr="001D49E7">
        <w:rPr>
          <w:rFonts w:cstheme="minorHAnsi"/>
          <w:sz w:val="20"/>
          <w:szCs w:val="20"/>
        </w:rPr>
        <w:t xml:space="preserve"> te je uz racionalizaciju rashoda ostvaren pozitivan rezultat u devetomjesečnom razdoblju 2024. godine. </w:t>
      </w:r>
    </w:p>
    <w:p w14:paraId="7F92AC1F" w14:textId="47A5E542" w:rsidR="0035583E" w:rsidRPr="001D49E7" w:rsidRDefault="0035583E" w:rsidP="0035583E">
      <w:pPr>
        <w:pStyle w:val="Bezproreda"/>
        <w:shd w:val="clear" w:color="auto" w:fill="FFFFFF" w:themeFill="background1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Kao i svih prethodnih godina, odnosno kroz cijelo višegodišnje razdoblje prioritet je bio da se u Proračunu Općine zadrži postignuta razina standarda u području predškolskog i osnovnoškolskog obrazovanja, socijalne skrbi, kulture, sporta, zaštite i spašavanja, zaštite okoliša te  održavanja komunalne infrastrukture i izgradnje nove, uz istovremenu održanu likvidnost poslovanja.</w:t>
      </w:r>
    </w:p>
    <w:p w14:paraId="549D70C4" w14:textId="3D9FB46E" w:rsidR="00E31844" w:rsidRPr="001D49E7" w:rsidRDefault="00E31844" w:rsidP="0035583E">
      <w:pPr>
        <w:pStyle w:val="Bezproreda"/>
        <w:shd w:val="clear" w:color="auto" w:fill="FFFFFF" w:themeFill="background1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Slijedom navedenog, utvrđeno je da je u devetomjesečnom razdoblju 2024. godine djelomično utrošen preneseni višak</w:t>
      </w:r>
      <w:r w:rsidR="005B49A0" w:rsidRPr="001D49E7">
        <w:rPr>
          <w:rFonts w:cstheme="minorHAnsi"/>
          <w:sz w:val="20"/>
          <w:szCs w:val="20"/>
        </w:rPr>
        <w:t>, a do kraja godine se ne očekuju značajnija odstupanja u ostvarenju prihoda i izvršenju rashoda.</w:t>
      </w:r>
      <w:r w:rsidRPr="001D49E7">
        <w:rPr>
          <w:rFonts w:cstheme="minorHAnsi"/>
          <w:sz w:val="20"/>
          <w:szCs w:val="20"/>
        </w:rPr>
        <w:t xml:space="preserve"> </w:t>
      </w:r>
      <w:r w:rsidR="001D49E7" w:rsidRPr="001D49E7">
        <w:rPr>
          <w:rFonts w:cstheme="minorHAnsi"/>
          <w:sz w:val="20"/>
          <w:szCs w:val="20"/>
        </w:rPr>
        <w:t>Očekuje se</w:t>
      </w:r>
      <w:r w:rsidRPr="001D49E7">
        <w:rPr>
          <w:rFonts w:cstheme="minorHAnsi"/>
          <w:sz w:val="20"/>
          <w:szCs w:val="20"/>
        </w:rPr>
        <w:t xml:space="preserve"> uplata pomoći iz proračuna </w:t>
      </w:r>
      <w:r w:rsidR="001D49E7" w:rsidRPr="001D49E7">
        <w:rPr>
          <w:rFonts w:cstheme="minorHAnsi"/>
          <w:sz w:val="20"/>
          <w:szCs w:val="20"/>
        </w:rPr>
        <w:t>K</w:t>
      </w:r>
      <w:r w:rsidRPr="001D49E7">
        <w:rPr>
          <w:rFonts w:cstheme="minorHAnsi"/>
          <w:sz w:val="20"/>
          <w:szCs w:val="20"/>
        </w:rPr>
        <w:t>rapinsko zagorske županije u iznosu od 200.000,00 eura za sufinanciranje dogradnje osnovne škole i izgradnje školske dvorane t</w:t>
      </w:r>
      <w:r w:rsidR="001D49E7" w:rsidRPr="001D49E7">
        <w:rPr>
          <w:rFonts w:cstheme="minorHAnsi"/>
          <w:sz w:val="20"/>
          <w:szCs w:val="20"/>
        </w:rPr>
        <w:t>e</w:t>
      </w:r>
      <w:r w:rsidRPr="001D49E7">
        <w:rPr>
          <w:rFonts w:cstheme="minorHAnsi"/>
          <w:sz w:val="20"/>
          <w:szCs w:val="20"/>
        </w:rPr>
        <w:t xml:space="preserve"> se iz navedenog razloga planira višak u iznosu od 200.000,00 eura koji će se u 2025. godini rasporediti </w:t>
      </w:r>
      <w:r w:rsidR="005B49A0" w:rsidRPr="001D49E7">
        <w:rPr>
          <w:rFonts w:cstheme="minorHAnsi"/>
          <w:sz w:val="20"/>
          <w:szCs w:val="20"/>
        </w:rPr>
        <w:t xml:space="preserve">kao izvor financiranja za navedeni projekt. </w:t>
      </w:r>
    </w:p>
    <w:p w14:paraId="281250A9" w14:textId="0FE5151A" w:rsidR="00146A32" w:rsidRPr="001D49E7" w:rsidRDefault="00146A32" w:rsidP="005923A5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61AD1A9D" w14:textId="515850C1" w:rsidR="00146A32" w:rsidRPr="001D49E7" w:rsidRDefault="00FB0288" w:rsidP="002129A2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1D49E7">
        <w:rPr>
          <w:rFonts w:cstheme="minorHAnsi"/>
          <w:b/>
          <w:sz w:val="20"/>
          <w:szCs w:val="20"/>
        </w:rPr>
        <w:t xml:space="preserve">Prijedlog mjera za otklanjanje uzroka </w:t>
      </w:r>
      <w:r w:rsidR="002129A2">
        <w:rPr>
          <w:rFonts w:cstheme="minorHAnsi"/>
          <w:b/>
          <w:sz w:val="20"/>
          <w:szCs w:val="20"/>
        </w:rPr>
        <w:t xml:space="preserve">nastanka viška </w:t>
      </w:r>
      <w:r w:rsidRPr="001D49E7">
        <w:rPr>
          <w:rFonts w:cstheme="minorHAnsi"/>
          <w:b/>
          <w:sz w:val="20"/>
          <w:szCs w:val="20"/>
        </w:rPr>
        <w:t>poslovanja i mjera za stabilno poslovanje</w:t>
      </w:r>
    </w:p>
    <w:p w14:paraId="48E2F438" w14:textId="77777777" w:rsidR="00146A32" w:rsidRPr="001D49E7" w:rsidRDefault="00146A32">
      <w:pPr>
        <w:pStyle w:val="Bezproreda"/>
        <w:spacing w:line="276" w:lineRule="auto"/>
        <w:ind w:left="720"/>
        <w:rPr>
          <w:rFonts w:cstheme="minorHAnsi"/>
          <w:b/>
          <w:sz w:val="20"/>
          <w:szCs w:val="20"/>
        </w:rPr>
      </w:pPr>
    </w:p>
    <w:p w14:paraId="45BFD37F" w14:textId="2C9CC017" w:rsidR="00146A32" w:rsidRPr="001D49E7" w:rsidRDefault="00FB0288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 xml:space="preserve">Odlukom o donošenju proračuna te izmjenama i dopunama planirati </w:t>
      </w:r>
      <w:r w:rsidR="000B6655" w:rsidRPr="001D49E7">
        <w:rPr>
          <w:rFonts w:cstheme="minorHAnsi"/>
          <w:sz w:val="20"/>
          <w:szCs w:val="20"/>
        </w:rPr>
        <w:t>raspored viška sredstava</w:t>
      </w:r>
    </w:p>
    <w:p w14:paraId="6B219017" w14:textId="77777777" w:rsidR="00146A32" w:rsidRPr="001D49E7" w:rsidRDefault="00FB0288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Kod planiranja i izvršavanja proračuna prioritet imaju zakonske i ugovorne obveze</w:t>
      </w:r>
    </w:p>
    <w:p w14:paraId="01A1C436" w14:textId="77777777" w:rsidR="00146A32" w:rsidRPr="001D49E7" w:rsidRDefault="00FB0288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Kontinuirano praćenje naplate prihoda i preuzimanje obveza u skladu s njihovim ostvarenjem</w:t>
      </w:r>
    </w:p>
    <w:p w14:paraId="783ADB9D" w14:textId="77777777" w:rsidR="00146A32" w:rsidRPr="001D49E7" w:rsidRDefault="00FB0288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>Povećanje financiranja proračunskih projekata i aktivnosti iz tekućih i kapitalnih pomoći prijavom projekata na natječaje europskih i drugih fondova</w:t>
      </w:r>
    </w:p>
    <w:p w14:paraId="5EAFF7F9" w14:textId="77777777" w:rsidR="00146A32" w:rsidRPr="001D49E7" w:rsidRDefault="00146A32">
      <w:pPr>
        <w:pStyle w:val="Bezproreda"/>
        <w:spacing w:line="276" w:lineRule="auto"/>
        <w:rPr>
          <w:rFonts w:cstheme="minorHAnsi"/>
        </w:rPr>
      </w:pPr>
    </w:p>
    <w:p w14:paraId="1FC8ED8A" w14:textId="77777777" w:rsidR="00146A32" w:rsidRPr="001D49E7" w:rsidRDefault="00FB0288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1D49E7">
        <w:rPr>
          <w:rFonts w:cstheme="minorHAnsi"/>
          <w:b/>
          <w:sz w:val="20"/>
          <w:szCs w:val="20"/>
        </w:rPr>
        <w:t>Akcijski plan provedbe mjera</w:t>
      </w:r>
    </w:p>
    <w:p w14:paraId="7A4D980D" w14:textId="77777777" w:rsidR="00146A32" w:rsidRPr="001D49E7" w:rsidRDefault="00146A3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3863"/>
        <w:gridCol w:w="3008"/>
        <w:gridCol w:w="1657"/>
      </w:tblGrid>
      <w:tr w:rsidR="001D49E7" w:rsidRPr="001D49E7" w14:paraId="029B35F8" w14:textId="77777777" w:rsidTr="001D49E7">
        <w:tc>
          <w:tcPr>
            <w:tcW w:w="3863" w:type="dxa"/>
            <w:shd w:val="clear" w:color="auto" w:fill="EAF1DD" w:themeFill="accent3" w:themeFillTint="33"/>
          </w:tcPr>
          <w:p w14:paraId="0DCF3186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008" w:type="dxa"/>
            <w:shd w:val="clear" w:color="auto" w:fill="EAF1DD" w:themeFill="accent3" w:themeFillTint="33"/>
          </w:tcPr>
          <w:p w14:paraId="60AB8C76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>OPIS/NAČIN PROVEDBE</w:t>
            </w:r>
          </w:p>
        </w:tc>
        <w:tc>
          <w:tcPr>
            <w:tcW w:w="1657" w:type="dxa"/>
            <w:shd w:val="clear" w:color="auto" w:fill="EAF1DD" w:themeFill="accent3" w:themeFillTint="33"/>
          </w:tcPr>
          <w:p w14:paraId="30388035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>ROK PROVEDBE</w:t>
            </w:r>
          </w:p>
        </w:tc>
      </w:tr>
      <w:tr w:rsidR="001D49E7" w:rsidRPr="001D49E7" w14:paraId="7261630A" w14:textId="77777777" w:rsidTr="001D49E7">
        <w:tc>
          <w:tcPr>
            <w:tcW w:w="3863" w:type="dxa"/>
          </w:tcPr>
          <w:p w14:paraId="17720DDD" w14:textId="03E6D38B" w:rsidR="00146A32" w:rsidRPr="001D49E7" w:rsidRDefault="00FB0288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 xml:space="preserve">Odlukom o donošenju proračuna te izmjenama i dopunama planirati </w:t>
            </w:r>
            <w:r w:rsidR="000B6655" w:rsidRPr="001D49E7">
              <w:rPr>
                <w:rFonts w:cstheme="minorHAnsi"/>
                <w:sz w:val="20"/>
                <w:szCs w:val="20"/>
              </w:rPr>
              <w:t>raspored viška</w:t>
            </w:r>
          </w:p>
          <w:p w14:paraId="0D8A958E" w14:textId="77777777" w:rsidR="00146A32" w:rsidRPr="001D49E7" w:rsidRDefault="00146A32">
            <w:pPr>
              <w:pStyle w:val="Bezproreda"/>
              <w:spacing w:line="276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8" w:type="dxa"/>
          </w:tcPr>
          <w:p w14:paraId="189830E5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 xml:space="preserve">Proračun koji uključuje rezultat poslovanja pruža cjelovit financijski okvir za donošenje odluka o budućoj potrošnji i izvorima financiranja. </w:t>
            </w:r>
          </w:p>
        </w:tc>
        <w:tc>
          <w:tcPr>
            <w:tcW w:w="1657" w:type="dxa"/>
          </w:tcPr>
          <w:p w14:paraId="21987F89" w14:textId="431C17B4" w:rsidR="00146A32" w:rsidRPr="0006338D" w:rsidRDefault="00FB0288" w:rsidP="006360D7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6338D">
              <w:rPr>
                <w:rFonts w:cstheme="minorHAnsi"/>
                <w:sz w:val="20"/>
                <w:szCs w:val="20"/>
              </w:rPr>
              <w:t>15. studenog 202</w:t>
            </w:r>
            <w:r w:rsidR="006360D7" w:rsidRPr="0006338D">
              <w:rPr>
                <w:rFonts w:cstheme="minorHAnsi"/>
                <w:sz w:val="20"/>
                <w:szCs w:val="20"/>
              </w:rPr>
              <w:t>4</w:t>
            </w:r>
            <w:r w:rsidRPr="0006338D">
              <w:rPr>
                <w:rFonts w:cstheme="minorHAnsi"/>
                <w:sz w:val="20"/>
                <w:szCs w:val="20"/>
              </w:rPr>
              <w:t>., a prema potrebi prilikom izmjena i dopuna Proračuna u narednom razdoblju</w:t>
            </w:r>
          </w:p>
        </w:tc>
      </w:tr>
      <w:tr w:rsidR="001D49E7" w:rsidRPr="001D49E7" w14:paraId="71152505" w14:textId="77777777" w:rsidTr="001D49E7">
        <w:tc>
          <w:tcPr>
            <w:tcW w:w="3863" w:type="dxa"/>
          </w:tcPr>
          <w:p w14:paraId="1D216049" w14:textId="77777777" w:rsidR="00146A32" w:rsidRPr="001D49E7" w:rsidRDefault="00FB0288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>Kod planiranja i izvršavanja proračuna prioritet imaju zakonske i ugovorne obveze</w:t>
            </w:r>
          </w:p>
          <w:p w14:paraId="2477887E" w14:textId="77777777" w:rsidR="00146A32" w:rsidRPr="001D49E7" w:rsidRDefault="00146A3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8" w:type="dxa"/>
          </w:tcPr>
          <w:p w14:paraId="18BC178D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>Mjera podrazumijeva prioritetno podmirivanje već preuzetih obveza, odnosno zakonskih obveza (financiranje redovne djelatnosti proračunskog korisnika i jedinstvenog upravno odjela, i dr.)</w:t>
            </w:r>
          </w:p>
        </w:tc>
        <w:tc>
          <w:tcPr>
            <w:tcW w:w="1657" w:type="dxa"/>
          </w:tcPr>
          <w:p w14:paraId="02E04488" w14:textId="77777777" w:rsidR="00146A32" w:rsidRPr="001D49E7" w:rsidRDefault="00146A3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0B1D3BE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1D49E7" w:rsidRPr="001D49E7" w14:paraId="42C0B332" w14:textId="77777777" w:rsidTr="001D49E7">
        <w:tc>
          <w:tcPr>
            <w:tcW w:w="3863" w:type="dxa"/>
          </w:tcPr>
          <w:p w14:paraId="533A3178" w14:textId="77777777" w:rsidR="00146A32" w:rsidRPr="001D49E7" w:rsidRDefault="00FB0288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>Kontinuirano praćenje naplate prihoda i preuzimanje obveza u skladu s njihovim ostvarenjem</w:t>
            </w:r>
          </w:p>
          <w:p w14:paraId="7A889DC9" w14:textId="77777777" w:rsidR="00146A32" w:rsidRPr="001D49E7" w:rsidRDefault="00146A3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8" w:type="dxa"/>
          </w:tcPr>
          <w:p w14:paraId="661A1603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>Mjera uključuje preuzimanje obveza u skladu s dinamikom ostvarenja izvora financiranja kako je definirano u Planu proračuna. Izrada kvartalnih izvještaja o realizaciji Proračuna.</w:t>
            </w:r>
          </w:p>
        </w:tc>
        <w:tc>
          <w:tcPr>
            <w:tcW w:w="1657" w:type="dxa"/>
          </w:tcPr>
          <w:p w14:paraId="11CB63CF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>Kvartalno</w:t>
            </w:r>
          </w:p>
        </w:tc>
      </w:tr>
      <w:tr w:rsidR="001D49E7" w:rsidRPr="001D49E7" w14:paraId="3ED85120" w14:textId="77777777" w:rsidTr="001D49E7">
        <w:tc>
          <w:tcPr>
            <w:tcW w:w="3863" w:type="dxa"/>
          </w:tcPr>
          <w:p w14:paraId="79110765" w14:textId="77777777" w:rsidR="00146A32" w:rsidRPr="001D49E7" w:rsidRDefault="00FB0288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t xml:space="preserve">Povećanje financiranja proračunskih projekata i aktivnosti iz tekućih i kapitalnih pomoći </w:t>
            </w:r>
            <w:r w:rsidRPr="001D49E7">
              <w:rPr>
                <w:rFonts w:cstheme="minorHAnsi"/>
                <w:sz w:val="20"/>
                <w:szCs w:val="20"/>
              </w:rPr>
              <w:lastRenderedPageBreak/>
              <w:t>prijavom projekata na natječaje europskih i drugih fondova</w:t>
            </w:r>
          </w:p>
          <w:p w14:paraId="1D55B8FC" w14:textId="77777777" w:rsidR="00146A32" w:rsidRPr="001D49E7" w:rsidRDefault="00146A3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8" w:type="dxa"/>
          </w:tcPr>
          <w:p w14:paraId="7CA668CB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lastRenderedPageBreak/>
              <w:t xml:space="preserve">Mjera uključuje oslobađanje sredstava iz izvora Opći prihodi i primici (porezni prihodi) i </w:t>
            </w:r>
            <w:r w:rsidRPr="001D49E7">
              <w:rPr>
                <w:rFonts w:cstheme="minorHAnsi"/>
                <w:sz w:val="20"/>
                <w:szCs w:val="20"/>
              </w:rPr>
              <w:lastRenderedPageBreak/>
              <w:t xml:space="preserve">financiranje što više aktivnosti i projekata iz drugih izvora (nacionalni i međunarodni natječaji) </w:t>
            </w:r>
          </w:p>
        </w:tc>
        <w:tc>
          <w:tcPr>
            <w:tcW w:w="1657" w:type="dxa"/>
          </w:tcPr>
          <w:p w14:paraId="170F3E5E" w14:textId="77777777" w:rsidR="00146A32" w:rsidRPr="001D49E7" w:rsidRDefault="00FB02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1D49E7">
              <w:rPr>
                <w:rFonts w:cstheme="minorHAnsi"/>
                <w:sz w:val="20"/>
                <w:szCs w:val="20"/>
              </w:rPr>
              <w:lastRenderedPageBreak/>
              <w:t>Kontinuirano</w:t>
            </w:r>
          </w:p>
        </w:tc>
      </w:tr>
    </w:tbl>
    <w:p w14:paraId="765A0A90" w14:textId="77777777" w:rsidR="00146A32" w:rsidRPr="001D49E7" w:rsidRDefault="00146A3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77542FD8" w14:textId="5BD401F2" w:rsidR="00146A32" w:rsidRPr="001D49E7" w:rsidRDefault="00FB0288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 xml:space="preserve">Odgovorna osoba za provedbu akcijskog plana je Općinski načelnik. Planirani financijski učinak predloženih mjera je </w:t>
      </w:r>
      <w:r w:rsidR="000B6655" w:rsidRPr="001D49E7">
        <w:rPr>
          <w:rFonts w:cstheme="minorHAnsi"/>
          <w:sz w:val="20"/>
          <w:szCs w:val="20"/>
        </w:rPr>
        <w:t>utrošak planiranog viška u iznosu od 200.000,00 eura tijekom 2025. godine.</w:t>
      </w:r>
    </w:p>
    <w:p w14:paraId="73BC6348" w14:textId="77777777" w:rsidR="00146A32" w:rsidRPr="001D49E7" w:rsidRDefault="00146A32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1D39BE10" w14:textId="77777777" w:rsidR="00146A32" w:rsidRPr="001D49E7" w:rsidRDefault="00146A3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4B3D3DDC" w14:textId="77777777" w:rsidR="00146A32" w:rsidRPr="001D49E7" w:rsidRDefault="00146A3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077AF6CB" w14:textId="7CD73F0C" w:rsidR="00146A32" w:rsidRPr="001D49E7" w:rsidRDefault="006360D7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Predsjednik Općinskog vijeća</w:t>
      </w:r>
    </w:p>
    <w:p w14:paraId="135A835E" w14:textId="266B4133" w:rsidR="00146A32" w:rsidRDefault="006360D7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Općine Stubičke Toplice</w:t>
      </w:r>
    </w:p>
    <w:p w14:paraId="7BB11A64" w14:textId="49D3EBFC" w:rsidR="006360D7" w:rsidRPr="001D49E7" w:rsidRDefault="006360D7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Tomislav Mlinarić</w:t>
      </w:r>
    </w:p>
    <w:p w14:paraId="126E7AC7" w14:textId="77777777" w:rsidR="00146A32" w:rsidRPr="001D49E7" w:rsidRDefault="00FB0288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 xml:space="preserve"> </w:t>
      </w:r>
    </w:p>
    <w:p w14:paraId="3368DEAA" w14:textId="77777777" w:rsidR="00146A32" w:rsidRPr="001D49E7" w:rsidRDefault="00FB0288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1D49E7">
        <w:rPr>
          <w:rFonts w:cstheme="minorHAnsi"/>
          <w:sz w:val="20"/>
          <w:szCs w:val="20"/>
        </w:rPr>
        <w:t xml:space="preserve"> </w:t>
      </w:r>
    </w:p>
    <w:p w14:paraId="5932E657" w14:textId="77777777" w:rsidR="00146A32" w:rsidRPr="001D49E7" w:rsidRDefault="00146A3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10BB757E" w14:textId="77777777" w:rsidR="00146A32" w:rsidRPr="001D49E7" w:rsidRDefault="00146A32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02972D1B" w14:textId="77777777" w:rsidR="00146A32" w:rsidRPr="001D49E7" w:rsidRDefault="00146A32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7CAA1F79" w14:textId="77777777" w:rsidR="00146A32" w:rsidRPr="001D49E7" w:rsidRDefault="00146A32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25866DC8" w14:textId="77777777" w:rsidR="00146A32" w:rsidRPr="001D49E7" w:rsidRDefault="00146A32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312E4FC6" w14:textId="4B911983" w:rsidR="00146A32" w:rsidRPr="001D49E7" w:rsidRDefault="00146A32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46A32" w:rsidRPr="001D49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2661A" w14:textId="77777777" w:rsidR="00146A32" w:rsidRDefault="00FB0288">
      <w:pPr>
        <w:spacing w:after="0" w:line="240" w:lineRule="auto"/>
      </w:pPr>
      <w:r>
        <w:separator/>
      </w:r>
    </w:p>
  </w:endnote>
  <w:endnote w:type="continuationSeparator" w:id="0">
    <w:p w14:paraId="0CE84AA8" w14:textId="77777777" w:rsidR="00146A32" w:rsidRDefault="00FB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E3DA" w14:textId="77777777" w:rsidR="00146A32" w:rsidRDefault="00FB0288">
      <w:pPr>
        <w:spacing w:after="0" w:line="240" w:lineRule="auto"/>
      </w:pPr>
      <w:r>
        <w:separator/>
      </w:r>
    </w:p>
  </w:footnote>
  <w:footnote w:type="continuationSeparator" w:id="0">
    <w:p w14:paraId="59AFFE7F" w14:textId="77777777" w:rsidR="00146A32" w:rsidRDefault="00FB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6525573"/>
      <w:docPartObj>
        <w:docPartGallery w:val="Page Numbers (Top of Page)"/>
        <w:docPartUnique/>
      </w:docPartObj>
    </w:sdtPr>
    <w:sdtEndPr/>
    <w:sdtContent>
      <w:p w14:paraId="70882B7B" w14:textId="77777777" w:rsidR="00146A32" w:rsidRDefault="00FB028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D7">
          <w:rPr>
            <w:noProof/>
          </w:rPr>
          <w:t>1</w:t>
        </w:r>
        <w:r>
          <w:fldChar w:fldCharType="end"/>
        </w:r>
      </w:p>
    </w:sdtContent>
  </w:sdt>
  <w:p w14:paraId="32F8EFC4" w14:textId="77777777" w:rsidR="00146A32" w:rsidRDefault="00146A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5CD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770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3C2"/>
    <w:multiLevelType w:val="hybridMultilevel"/>
    <w:tmpl w:val="DB248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C37"/>
    <w:multiLevelType w:val="hybridMultilevel"/>
    <w:tmpl w:val="B0D8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F5615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48E6"/>
    <w:multiLevelType w:val="hybridMultilevel"/>
    <w:tmpl w:val="015A3CB8"/>
    <w:lvl w:ilvl="0" w:tplc="1470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F131B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3CC1"/>
    <w:multiLevelType w:val="hybridMultilevel"/>
    <w:tmpl w:val="811A4032"/>
    <w:lvl w:ilvl="0" w:tplc="0A00E34A">
      <w:start w:val="1"/>
      <w:numFmt w:val="decimal"/>
      <w:lvlText w:val="%1."/>
      <w:lvlJc w:val="left"/>
      <w:pPr>
        <w:ind w:left="1428" w:hanging="360"/>
      </w:pPr>
      <w:rPr>
        <w:rFonts w:ascii="Calibri" w:eastAsiaTheme="minorHAnsi" w:hAnsi="Calibri" w:cs="Calibri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D14F61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62941"/>
    <w:multiLevelType w:val="hybridMultilevel"/>
    <w:tmpl w:val="A8EABC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25468C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173706">
    <w:abstractNumId w:val="0"/>
  </w:num>
  <w:num w:numId="2" w16cid:durableId="1668481488">
    <w:abstractNumId w:val="12"/>
  </w:num>
  <w:num w:numId="3" w16cid:durableId="1757163582">
    <w:abstractNumId w:val="8"/>
  </w:num>
  <w:num w:numId="4" w16cid:durableId="267853995">
    <w:abstractNumId w:val="15"/>
  </w:num>
  <w:num w:numId="5" w16cid:durableId="1056469828">
    <w:abstractNumId w:val="4"/>
  </w:num>
  <w:num w:numId="6" w16cid:durableId="1124469275">
    <w:abstractNumId w:val="7"/>
  </w:num>
  <w:num w:numId="7" w16cid:durableId="49764841">
    <w:abstractNumId w:val="14"/>
  </w:num>
  <w:num w:numId="8" w16cid:durableId="1917549244">
    <w:abstractNumId w:val="5"/>
  </w:num>
  <w:num w:numId="9" w16cid:durableId="1471022755">
    <w:abstractNumId w:val="2"/>
  </w:num>
  <w:num w:numId="10" w16cid:durableId="1761902062">
    <w:abstractNumId w:val="1"/>
  </w:num>
  <w:num w:numId="11" w16cid:durableId="1104034902">
    <w:abstractNumId w:val="9"/>
  </w:num>
  <w:num w:numId="12" w16cid:durableId="1077357661">
    <w:abstractNumId w:val="16"/>
  </w:num>
  <w:num w:numId="13" w16cid:durableId="696852238">
    <w:abstractNumId w:val="11"/>
  </w:num>
  <w:num w:numId="14" w16cid:durableId="543634934">
    <w:abstractNumId w:val="6"/>
  </w:num>
  <w:num w:numId="15" w16cid:durableId="728185656">
    <w:abstractNumId w:val="13"/>
  </w:num>
  <w:num w:numId="16" w16cid:durableId="1025669885">
    <w:abstractNumId w:val="10"/>
  </w:num>
  <w:num w:numId="17" w16cid:durableId="1742870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32"/>
    <w:rsid w:val="000316AC"/>
    <w:rsid w:val="0006338D"/>
    <w:rsid w:val="000B6655"/>
    <w:rsid w:val="000D19A2"/>
    <w:rsid w:val="000F1A4F"/>
    <w:rsid w:val="000F7B67"/>
    <w:rsid w:val="0013188E"/>
    <w:rsid w:val="00146A32"/>
    <w:rsid w:val="00160790"/>
    <w:rsid w:val="001612DC"/>
    <w:rsid w:val="00192F81"/>
    <w:rsid w:val="001D49E7"/>
    <w:rsid w:val="002129A2"/>
    <w:rsid w:val="00257166"/>
    <w:rsid w:val="002922EF"/>
    <w:rsid w:val="0029561E"/>
    <w:rsid w:val="002A7A64"/>
    <w:rsid w:val="003052D4"/>
    <w:rsid w:val="00325CCE"/>
    <w:rsid w:val="0035583E"/>
    <w:rsid w:val="003915F3"/>
    <w:rsid w:val="003A3A6A"/>
    <w:rsid w:val="004B2CB9"/>
    <w:rsid w:val="004B2CE3"/>
    <w:rsid w:val="005923A5"/>
    <w:rsid w:val="005B49A0"/>
    <w:rsid w:val="006360D7"/>
    <w:rsid w:val="0068216D"/>
    <w:rsid w:val="0078648D"/>
    <w:rsid w:val="007D022C"/>
    <w:rsid w:val="00824942"/>
    <w:rsid w:val="008D313B"/>
    <w:rsid w:val="00B033FD"/>
    <w:rsid w:val="00B5414E"/>
    <w:rsid w:val="00C857F3"/>
    <w:rsid w:val="00C86484"/>
    <w:rsid w:val="00CA5429"/>
    <w:rsid w:val="00CD44F3"/>
    <w:rsid w:val="00CE4263"/>
    <w:rsid w:val="00D0095E"/>
    <w:rsid w:val="00DA68AB"/>
    <w:rsid w:val="00DE4FEE"/>
    <w:rsid w:val="00DF276F"/>
    <w:rsid w:val="00E31844"/>
    <w:rsid w:val="00F05884"/>
    <w:rsid w:val="00F961C5"/>
    <w:rsid w:val="00FA1A0E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17E5"/>
  <w15:docId w15:val="{CF7C80DE-C162-47D7-B976-5D16DC40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4ABD-D062-4C7C-8B48-08E66517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5</Pages>
  <Words>2057</Words>
  <Characters>11726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52</cp:revision>
  <cp:lastPrinted>2024-11-14T06:54:00Z</cp:lastPrinted>
  <dcterms:created xsi:type="dcterms:W3CDTF">2021-12-01T12:16:00Z</dcterms:created>
  <dcterms:modified xsi:type="dcterms:W3CDTF">2024-12-27T07:55:00Z</dcterms:modified>
</cp:coreProperties>
</file>