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0"/>
      </w:tblGrid>
      <w:tr w:rsidR="009642B7" w:rsidRPr="005937E7" w:rsidTr="009642B7">
        <w:tc>
          <w:tcPr>
            <w:tcW w:w="0" w:type="auto"/>
          </w:tcPr>
          <w:p w:rsidR="009642B7" w:rsidRPr="005937E7" w:rsidRDefault="009642B7" w:rsidP="009642B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7E7">
              <w:rPr>
                <w:rFonts w:cstheme="minorHAnsi"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27A962D4" wp14:editId="2841217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5937E7" w:rsidRDefault="009642B7" w:rsidP="009642B7">
            <w:pPr>
              <w:widowControl w:val="0"/>
              <w:jc w:val="center"/>
              <w:rPr>
                <w:rFonts w:cstheme="minorHAnsi"/>
                <w:sz w:val="20"/>
                <w:szCs w:val="20"/>
              </w:rPr>
            </w:pPr>
            <w:r w:rsidRPr="005937E7">
              <w:rPr>
                <w:rFonts w:cstheme="minorHAnsi"/>
                <w:b/>
                <w:sz w:val="20"/>
                <w:szCs w:val="20"/>
              </w:rPr>
              <w:t>REPUBLIKA HRVATSKA</w:t>
            </w:r>
          </w:p>
          <w:p w:rsidR="009642B7" w:rsidRPr="005937E7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7E7">
              <w:rPr>
                <w:rFonts w:cstheme="minorHAnsi"/>
                <w:b/>
                <w:sz w:val="20"/>
                <w:szCs w:val="20"/>
              </w:rPr>
              <w:t>KRAPINSKO-ZAGORSKA ŽUPANIJA</w:t>
            </w:r>
          </w:p>
          <w:p w:rsidR="009642B7" w:rsidRPr="005937E7" w:rsidRDefault="009642B7" w:rsidP="009642B7">
            <w:pPr>
              <w:widowControl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937E7">
              <w:rPr>
                <w:rFonts w:cstheme="minorHAnsi"/>
                <w:b/>
                <w:sz w:val="20"/>
                <w:szCs w:val="20"/>
              </w:rPr>
              <w:t>OPĆINA STUBIČKE TOPLICE</w:t>
            </w:r>
          </w:p>
          <w:p w:rsidR="009642B7" w:rsidRPr="005937E7" w:rsidRDefault="00430944" w:rsidP="003C7D5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37E7">
              <w:rPr>
                <w:rFonts w:cstheme="minorHAnsi"/>
                <w:b/>
                <w:sz w:val="20"/>
                <w:szCs w:val="20"/>
              </w:rPr>
              <w:t>NAČELNIK</w:t>
            </w:r>
          </w:p>
        </w:tc>
      </w:tr>
    </w:tbl>
    <w:p w:rsidR="009642B7" w:rsidRPr="005937E7" w:rsidRDefault="009642B7" w:rsidP="001A347D">
      <w:pPr>
        <w:pStyle w:val="Bezproreda"/>
        <w:spacing w:line="276" w:lineRule="auto"/>
        <w:jc w:val="both"/>
        <w:rPr>
          <w:rFonts w:cs="Times New Roman"/>
          <w:sz w:val="20"/>
          <w:szCs w:val="20"/>
        </w:rPr>
      </w:pPr>
    </w:p>
    <w:p w:rsidR="009642B7" w:rsidRPr="005937E7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5937E7">
        <w:rPr>
          <w:rFonts w:cstheme="minorHAnsi"/>
          <w:sz w:val="20"/>
          <w:szCs w:val="20"/>
        </w:rPr>
        <w:t>KLASA:</w:t>
      </w:r>
      <w:r w:rsidR="00502540" w:rsidRPr="005937E7">
        <w:rPr>
          <w:rFonts w:cstheme="minorHAnsi"/>
          <w:sz w:val="20"/>
          <w:szCs w:val="20"/>
        </w:rPr>
        <w:t>400-08/1</w:t>
      </w:r>
      <w:r w:rsidR="00B0207D" w:rsidRPr="005937E7">
        <w:rPr>
          <w:rFonts w:cstheme="minorHAnsi"/>
          <w:sz w:val="20"/>
          <w:szCs w:val="20"/>
        </w:rPr>
        <w:t>7</w:t>
      </w:r>
      <w:r w:rsidR="00502540" w:rsidRPr="005937E7">
        <w:rPr>
          <w:rFonts w:cstheme="minorHAnsi"/>
          <w:sz w:val="20"/>
          <w:szCs w:val="20"/>
        </w:rPr>
        <w:t>-01/</w:t>
      </w:r>
      <w:r w:rsidR="00CB224F" w:rsidRPr="005937E7">
        <w:rPr>
          <w:rFonts w:cstheme="minorHAnsi"/>
          <w:sz w:val="20"/>
          <w:szCs w:val="20"/>
        </w:rPr>
        <w:t>22</w:t>
      </w:r>
    </w:p>
    <w:p w:rsidR="009642B7" w:rsidRPr="005937E7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5937E7">
        <w:rPr>
          <w:rFonts w:cstheme="minorHAnsi"/>
          <w:sz w:val="20"/>
          <w:szCs w:val="20"/>
        </w:rPr>
        <w:t>URBROJ:2113/03-0</w:t>
      </w:r>
      <w:r w:rsidR="00430944" w:rsidRPr="005937E7">
        <w:rPr>
          <w:rFonts w:cstheme="minorHAnsi"/>
          <w:sz w:val="20"/>
          <w:szCs w:val="20"/>
        </w:rPr>
        <w:t>3</w:t>
      </w:r>
      <w:r w:rsidRPr="005937E7">
        <w:rPr>
          <w:rFonts w:cstheme="minorHAnsi"/>
          <w:sz w:val="20"/>
          <w:szCs w:val="20"/>
        </w:rPr>
        <w:t>-1</w:t>
      </w:r>
      <w:r w:rsidR="00B0207D" w:rsidRPr="005937E7">
        <w:rPr>
          <w:rFonts w:cstheme="minorHAnsi"/>
          <w:sz w:val="20"/>
          <w:szCs w:val="20"/>
        </w:rPr>
        <w:t>7</w:t>
      </w:r>
      <w:r w:rsidRPr="005937E7">
        <w:rPr>
          <w:rFonts w:cstheme="minorHAnsi"/>
          <w:sz w:val="20"/>
          <w:szCs w:val="20"/>
        </w:rPr>
        <w:t>-</w:t>
      </w:r>
      <w:r w:rsidR="00BB6E6B">
        <w:rPr>
          <w:rFonts w:cstheme="minorHAnsi"/>
          <w:sz w:val="20"/>
          <w:szCs w:val="20"/>
        </w:rPr>
        <w:t>11</w:t>
      </w:r>
    </w:p>
    <w:p w:rsidR="009642B7" w:rsidRPr="005937E7" w:rsidRDefault="009642B7" w:rsidP="001A347D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  <w:r w:rsidRPr="005937E7">
        <w:rPr>
          <w:rFonts w:cstheme="minorHAnsi"/>
          <w:sz w:val="20"/>
          <w:szCs w:val="20"/>
        </w:rPr>
        <w:t>Stubičke Toplice,</w:t>
      </w:r>
      <w:r w:rsidR="00430944" w:rsidRPr="005937E7">
        <w:rPr>
          <w:rFonts w:cstheme="minorHAnsi"/>
          <w:sz w:val="20"/>
          <w:szCs w:val="20"/>
        </w:rPr>
        <w:t xml:space="preserve"> </w:t>
      </w:r>
      <w:r w:rsidR="00CB224F" w:rsidRPr="005937E7">
        <w:rPr>
          <w:rFonts w:cstheme="minorHAnsi"/>
          <w:sz w:val="20"/>
          <w:szCs w:val="20"/>
        </w:rPr>
        <w:t>13.11</w:t>
      </w:r>
      <w:r w:rsidR="00B0207D" w:rsidRPr="005937E7">
        <w:rPr>
          <w:rFonts w:cstheme="minorHAnsi"/>
          <w:sz w:val="20"/>
          <w:szCs w:val="20"/>
        </w:rPr>
        <w:t>.2017.</w:t>
      </w:r>
    </w:p>
    <w:p w:rsidR="00162727" w:rsidRPr="005937E7" w:rsidRDefault="00162727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992D6C" w:rsidRPr="0025255B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  <w:r w:rsidRPr="0025255B">
        <w:rPr>
          <w:rFonts w:cstheme="minorHAnsi"/>
          <w:b/>
          <w:sz w:val="20"/>
          <w:szCs w:val="20"/>
        </w:rPr>
        <w:t>Analiza i ocjena postojećeg financijskog stanja s prijedlogom mjera za otklanjanje uzroka negativnog poslovanja, mjerama za stabilno poslovanje i akcijskim planom provedbe navedenih mjera</w:t>
      </w:r>
    </w:p>
    <w:p w:rsidR="00D9062D" w:rsidRPr="0025255B" w:rsidRDefault="00D9062D" w:rsidP="00D9062D">
      <w:pPr>
        <w:pStyle w:val="Bezproreda"/>
        <w:spacing w:line="276" w:lineRule="auto"/>
        <w:jc w:val="center"/>
        <w:rPr>
          <w:rFonts w:cstheme="minorHAnsi"/>
          <w:b/>
          <w:sz w:val="20"/>
          <w:szCs w:val="20"/>
        </w:rPr>
      </w:pPr>
    </w:p>
    <w:p w:rsidR="00D9062D" w:rsidRPr="0025255B" w:rsidRDefault="00D9062D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 xml:space="preserve">U skladu s Uputama </w:t>
      </w:r>
      <w:r w:rsidR="004B5F5A" w:rsidRPr="0025255B">
        <w:rPr>
          <w:rFonts w:cstheme="minorHAnsi"/>
          <w:sz w:val="20"/>
          <w:szCs w:val="20"/>
        </w:rPr>
        <w:t>za izradu proračuna Jedinica lokalne i područne (regionalne) samouprave za razdoblje 2018. – 2020., izrađena je analiza financijskog stanja Općine Stubičke Toplice radi što kvalite</w:t>
      </w:r>
      <w:r w:rsidR="007C2C92" w:rsidRPr="0025255B">
        <w:rPr>
          <w:rFonts w:cstheme="minorHAnsi"/>
          <w:sz w:val="20"/>
          <w:szCs w:val="20"/>
        </w:rPr>
        <w:t>tnije procjene manjka za 2017. g</w:t>
      </w:r>
      <w:r w:rsidR="004B5F5A" w:rsidRPr="0025255B">
        <w:rPr>
          <w:rFonts w:cstheme="minorHAnsi"/>
          <w:sz w:val="20"/>
          <w:szCs w:val="20"/>
        </w:rPr>
        <w:t>odinu te izrade plana njegova pokrića. Na temelju sagledanih pokazatelja sastavljen je prijedlog mjera za pokriće planiranog manjka i akcijski plan za njihovu provedbu. U analizi financijskog stanja korišteni su podaci iz Financijskih izvještaj</w:t>
      </w:r>
      <w:r w:rsidR="007C2C92" w:rsidRPr="0025255B">
        <w:rPr>
          <w:rFonts w:cstheme="minorHAnsi"/>
          <w:sz w:val="20"/>
          <w:szCs w:val="20"/>
        </w:rPr>
        <w:t>a</w:t>
      </w:r>
      <w:r w:rsidR="004B5F5A" w:rsidRPr="0025255B">
        <w:rPr>
          <w:rFonts w:cstheme="minorHAnsi"/>
          <w:sz w:val="20"/>
          <w:szCs w:val="20"/>
        </w:rPr>
        <w:t xml:space="preserve"> Općine Stubičke Toplice.</w:t>
      </w:r>
    </w:p>
    <w:p w:rsidR="004B5F5A" w:rsidRPr="0025255B" w:rsidRDefault="004B5F5A" w:rsidP="004B5F5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>Općina Stubičke Toplice ima ustrojen Jedinstveni upravni odjel i ima jednog proračunskog korisnika, Dječji vrtić „Zvirek“.</w:t>
      </w:r>
    </w:p>
    <w:p w:rsidR="007C0A03" w:rsidRPr="0025255B" w:rsidRDefault="007C0A03" w:rsidP="007C0A03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</w:p>
    <w:p w:rsidR="004B5F5A" w:rsidRPr="0025255B" w:rsidRDefault="004B5F5A" w:rsidP="007C0A03">
      <w:pPr>
        <w:pStyle w:val="Bezproreda"/>
        <w:numPr>
          <w:ilvl w:val="0"/>
          <w:numId w:val="5"/>
        </w:numPr>
        <w:spacing w:line="276" w:lineRule="auto"/>
        <w:jc w:val="both"/>
        <w:rPr>
          <w:rFonts w:cstheme="minorHAnsi"/>
          <w:b/>
          <w:sz w:val="20"/>
          <w:szCs w:val="20"/>
        </w:rPr>
      </w:pPr>
      <w:r w:rsidRPr="0025255B">
        <w:rPr>
          <w:rFonts w:cstheme="minorHAnsi"/>
          <w:b/>
          <w:sz w:val="20"/>
          <w:szCs w:val="20"/>
        </w:rPr>
        <w:t>Analiza financijskog poslovanja Općine Stub</w:t>
      </w:r>
      <w:r w:rsidR="007C0A03" w:rsidRPr="0025255B">
        <w:rPr>
          <w:rFonts w:cstheme="minorHAnsi"/>
          <w:b/>
          <w:sz w:val="20"/>
          <w:szCs w:val="20"/>
        </w:rPr>
        <w:t xml:space="preserve">ičke Toplice </w:t>
      </w:r>
    </w:p>
    <w:p w:rsidR="00D9062D" w:rsidRPr="0025255B" w:rsidRDefault="00D9062D" w:rsidP="00D9062D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p w:rsidR="00BA1659" w:rsidRPr="0025255B" w:rsidRDefault="00D9062D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>IZV</w:t>
      </w:r>
      <w:r w:rsidR="004B5F5A" w:rsidRPr="0025255B">
        <w:rPr>
          <w:rFonts w:cstheme="minorHAnsi"/>
          <w:sz w:val="20"/>
          <w:szCs w:val="20"/>
        </w:rPr>
        <w:t>JEŠTAJ O PRIHODIMA I PRIMICIMA</w:t>
      </w:r>
    </w:p>
    <w:p w:rsidR="005937E7" w:rsidRPr="005937E7" w:rsidRDefault="005937E7" w:rsidP="005937E7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937"/>
        <w:gridCol w:w="1394"/>
        <w:gridCol w:w="1265"/>
        <w:gridCol w:w="1394"/>
        <w:gridCol w:w="1298"/>
      </w:tblGrid>
      <w:tr w:rsidR="009E3121" w:rsidRPr="005937E7" w:rsidTr="005937E7">
        <w:tc>
          <w:tcPr>
            <w:tcW w:w="3937" w:type="dxa"/>
            <w:shd w:val="clear" w:color="auto" w:fill="B8CCE4" w:themeFill="accent1" w:themeFillTint="66"/>
          </w:tcPr>
          <w:p w:rsidR="009E3121" w:rsidRPr="005937E7" w:rsidRDefault="009E3121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PRIHODI I PRIMICI PO VRSTI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9E3121" w:rsidRPr="005937E7" w:rsidRDefault="009E3121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IZVRŠENJE 31.12.2015.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:rsidR="009E3121" w:rsidRPr="005937E7" w:rsidRDefault="009E3121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9E3121" w:rsidRPr="005937E7" w:rsidRDefault="009E3121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IZVRŠENJE 30.09.2016.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:rsidR="009E3121" w:rsidRPr="005937E7" w:rsidRDefault="009E3121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Prihodi od poreza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5.360.700,56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6.018.804,39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4.575.547,20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4.034.446,83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2.256.358,14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1.367.992,45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511.614,68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603.869,20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Prihodi od imovine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248.541,02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254.855,40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199.075,23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170.926,42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1.044.530,68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952.746,33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639.136,24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567.164,24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Prihodi od prodaje proizvoda i roba te pruženih usluga i prihodi od donacija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241.288,93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232.406,46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183.771,62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185.258,67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Kazne, upravne mjere te ostali prihodi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72.224,41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82.913,53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37.787,54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20.936,89</w:t>
            </w:r>
          </w:p>
        </w:tc>
      </w:tr>
      <w:tr w:rsidR="009E3121" w:rsidRPr="005937E7" w:rsidTr="005937E7">
        <w:tc>
          <w:tcPr>
            <w:tcW w:w="3937" w:type="dxa"/>
            <w:shd w:val="clear" w:color="auto" w:fill="DBE5F1" w:themeFill="accent1" w:themeFillTint="33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UKUPNO PRIHODI POSLOVANJA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9.223.643,74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8.909.718,56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6.146.932,51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5.582.602,25</w:t>
            </w:r>
          </w:p>
        </w:tc>
      </w:tr>
      <w:tr w:rsidR="009E3121" w:rsidRPr="005937E7" w:rsidTr="009E3121">
        <w:tc>
          <w:tcPr>
            <w:tcW w:w="3937" w:type="dxa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Prihodi od prodaje neproizv</w:t>
            </w:r>
            <w:r w:rsidR="007C2C92" w:rsidRPr="005937E7">
              <w:rPr>
                <w:rFonts w:cstheme="minorHAnsi"/>
                <w:sz w:val="18"/>
                <w:szCs w:val="18"/>
              </w:rPr>
              <w:t xml:space="preserve">edene dugotrajne imovine </w:t>
            </w:r>
          </w:p>
        </w:tc>
        <w:tc>
          <w:tcPr>
            <w:tcW w:w="1394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1.760,85</w:t>
            </w:r>
          </w:p>
        </w:tc>
        <w:tc>
          <w:tcPr>
            <w:tcW w:w="1265" w:type="dxa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4.563,73</w:t>
            </w:r>
          </w:p>
        </w:tc>
        <w:tc>
          <w:tcPr>
            <w:tcW w:w="1394" w:type="dxa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800,00</w:t>
            </w:r>
          </w:p>
        </w:tc>
        <w:tc>
          <w:tcPr>
            <w:tcW w:w="1298" w:type="dxa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4.586,92</w:t>
            </w:r>
          </w:p>
        </w:tc>
      </w:tr>
      <w:tr w:rsidR="009E3121" w:rsidRPr="005937E7" w:rsidTr="005937E7">
        <w:tc>
          <w:tcPr>
            <w:tcW w:w="3937" w:type="dxa"/>
            <w:shd w:val="clear" w:color="auto" w:fill="DBE5F1" w:themeFill="accent1" w:themeFillTint="33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UKUPNO PRIHODI OD PRODAJE NEFINANCIJSKE IMOIVNE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1.760,85</w:t>
            </w:r>
          </w:p>
        </w:tc>
        <w:tc>
          <w:tcPr>
            <w:tcW w:w="1265" w:type="dxa"/>
            <w:shd w:val="clear" w:color="auto" w:fill="DBE5F1" w:themeFill="accent1" w:themeFillTint="33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4.563,73</w:t>
            </w:r>
          </w:p>
        </w:tc>
        <w:tc>
          <w:tcPr>
            <w:tcW w:w="1394" w:type="dxa"/>
            <w:shd w:val="clear" w:color="auto" w:fill="DBE5F1" w:themeFill="accent1" w:themeFillTint="33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800,00</w:t>
            </w:r>
          </w:p>
        </w:tc>
        <w:tc>
          <w:tcPr>
            <w:tcW w:w="1298" w:type="dxa"/>
            <w:shd w:val="clear" w:color="auto" w:fill="DBE5F1" w:themeFill="accent1" w:themeFillTint="33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5937E7">
              <w:rPr>
                <w:rFonts w:cstheme="minorHAnsi"/>
                <w:sz w:val="18"/>
                <w:szCs w:val="18"/>
              </w:rPr>
              <w:t>4.586,92</w:t>
            </w:r>
          </w:p>
        </w:tc>
      </w:tr>
      <w:tr w:rsidR="009E3121" w:rsidRPr="005937E7" w:rsidTr="009E3121">
        <w:tc>
          <w:tcPr>
            <w:tcW w:w="3937" w:type="dxa"/>
            <w:shd w:val="clear" w:color="auto" w:fill="B8CCE4" w:themeFill="accent1" w:themeFillTint="66"/>
          </w:tcPr>
          <w:p w:rsidR="009E3121" w:rsidRPr="005937E7" w:rsidRDefault="009E3121" w:rsidP="00D9062D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UKUPNO PRIHODI: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9.225.404,59</w:t>
            </w:r>
          </w:p>
        </w:tc>
        <w:tc>
          <w:tcPr>
            <w:tcW w:w="1265" w:type="dxa"/>
            <w:shd w:val="clear" w:color="auto" w:fill="B8CCE4" w:themeFill="accent1" w:themeFillTint="66"/>
          </w:tcPr>
          <w:p w:rsidR="009E3121" w:rsidRPr="005937E7" w:rsidRDefault="009E3121" w:rsidP="00396E6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8.914.282,29</w:t>
            </w:r>
          </w:p>
        </w:tc>
        <w:tc>
          <w:tcPr>
            <w:tcW w:w="1394" w:type="dxa"/>
            <w:shd w:val="clear" w:color="auto" w:fill="B8CCE4" w:themeFill="accent1" w:themeFillTint="66"/>
          </w:tcPr>
          <w:p w:rsidR="009E3121" w:rsidRPr="005937E7" w:rsidRDefault="009958AA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6.147.732,51</w:t>
            </w:r>
          </w:p>
        </w:tc>
        <w:tc>
          <w:tcPr>
            <w:tcW w:w="1298" w:type="dxa"/>
            <w:shd w:val="clear" w:color="auto" w:fill="B8CCE4" w:themeFill="accent1" w:themeFillTint="66"/>
          </w:tcPr>
          <w:p w:rsidR="009E3121" w:rsidRPr="005937E7" w:rsidRDefault="009E3121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5937E7">
              <w:rPr>
                <w:rFonts w:cstheme="minorHAnsi"/>
                <w:b/>
                <w:sz w:val="18"/>
                <w:szCs w:val="18"/>
              </w:rPr>
              <w:t>5.587.189,17</w:t>
            </w:r>
          </w:p>
        </w:tc>
      </w:tr>
    </w:tbl>
    <w:p w:rsidR="001427FC" w:rsidRDefault="001427FC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p w:rsidR="000A2BB9" w:rsidRPr="0025255B" w:rsidRDefault="00395C1D" w:rsidP="00CF1AFE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>U 2016. godini ostvareno je za 3,37% manje prihoda u odnosu na 2015. godinu. Najveći dio smanjenja odnosi se na pomoći i to 888.365,69 kn</w:t>
      </w:r>
      <w:r w:rsidR="00CF1AFE" w:rsidRPr="0025255B">
        <w:rPr>
          <w:rFonts w:cstheme="minorHAnsi"/>
          <w:sz w:val="20"/>
          <w:szCs w:val="20"/>
        </w:rPr>
        <w:t xml:space="preserve"> </w:t>
      </w:r>
      <w:r w:rsidR="000A2BB9" w:rsidRPr="0025255B">
        <w:rPr>
          <w:rFonts w:cstheme="minorHAnsi"/>
          <w:sz w:val="20"/>
          <w:szCs w:val="20"/>
        </w:rPr>
        <w:t xml:space="preserve"> i prihoda od upravnih i administrativnih pristojbi, pristojbi po posebnim propisima i naknada u iznosu 91.784,35 kn. Gledajući osnovne vrste prihoda, </w:t>
      </w:r>
      <w:r w:rsidR="008263CE">
        <w:rPr>
          <w:rFonts w:cstheme="minorHAnsi"/>
          <w:sz w:val="20"/>
          <w:szCs w:val="20"/>
        </w:rPr>
        <w:t xml:space="preserve"> u 2016. godini, u odnosu na 2015. godinu </w:t>
      </w:r>
      <w:r w:rsidR="000A2BB9" w:rsidRPr="0025255B">
        <w:rPr>
          <w:rFonts w:cstheme="minorHAnsi"/>
          <w:sz w:val="20"/>
          <w:szCs w:val="20"/>
        </w:rPr>
        <w:t xml:space="preserve">ostvareno je više prihoda od poreza </w:t>
      </w:r>
      <w:r w:rsidR="00403302" w:rsidRPr="0025255B">
        <w:rPr>
          <w:rFonts w:cstheme="minorHAnsi"/>
          <w:sz w:val="20"/>
          <w:szCs w:val="20"/>
        </w:rPr>
        <w:t xml:space="preserve"> </w:t>
      </w:r>
      <w:r w:rsidR="008263CE">
        <w:rPr>
          <w:rFonts w:cstheme="minorHAnsi"/>
          <w:sz w:val="20"/>
          <w:szCs w:val="20"/>
        </w:rPr>
        <w:t xml:space="preserve">i to </w:t>
      </w:r>
      <w:r w:rsidR="00403302" w:rsidRPr="0025255B">
        <w:rPr>
          <w:rFonts w:cstheme="minorHAnsi"/>
          <w:sz w:val="20"/>
          <w:szCs w:val="20"/>
        </w:rPr>
        <w:t>u iznosu od  658.103,83 kn</w:t>
      </w:r>
      <w:r w:rsidR="008263CE">
        <w:rPr>
          <w:rFonts w:cstheme="minorHAnsi"/>
          <w:sz w:val="20"/>
          <w:szCs w:val="20"/>
        </w:rPr>
        <w:t xml:space="preserve"> (razlika) </w:t>
      </w:r>
      <w:r w:rsidR="00403302" w:rsidRPr="0025255B">
        <w:rPr>
          <w:rFonts w:cstheme="minorHAnsi"/>
          <w:sz w:val="20"/>
          <w:szCs w:val="20"/>
        </w:rPr>
        <w:t xml:space="preserve"> </w:t>
      </w:r>
      <w:r w:rsidR="000A2BB9" w:rsidRPr="0025255B">
        <w:rPr>
          <w:rFonts w:cstheme="minorHAnsi"/>
          <w:sz w:val="20"/>
          <w:szCs w:val="20"/>
        </w:rPr>
        <w:t>iz razloga što je povećan udio općine u ukupno ostvarenim prihodima od poreza na području općine, sa 60</w:t>
      </w:r>
      <w:r w:rsidR="00403302" w:rsidRPr="0025255B">
        <w:rPr>
          <w:rFonts w:cstheme="minorHAnsi"/>
          <w:sz w:val="20"/>
          <w:szCs w:val="20"/>
        </w:rPr>
        <w:t>,00% u 2015. na 70,50%</w:t>
      </w:r>
      <w:r w:rsidR="00403302" w:rsidRPr="0025255B">
        <w:rPr>
          <w:rFonts w:ascii="Calibri" w:hAnsi="Calibri" w:cs="Arial"/>
          <w:color w:val="FF0000"/>
          <w:sz w:val="20"/>
          <w:szCs w:val="20"/>
        </w:rPr>
        <w:t xml:space="preserve"> </w:t>
      </w:r>
      <w:r w:rsidR="00403302" w:rsidRPr="0025255B">
        <w:rPr>
          <w:rFonts w:ascii="Calibri" w:hAnsi="Calibri" w:cs="Arial"/>
          <w:sz w:val="20"/>
          <w:szCs w:val="20"/>
        </w:rPr>
        <w:t>u 2016. godini i povećanja prihoda od poreza na kuće za odmor.</w:t>
      </w:r>
      <w:r w:rsidR="00CF1AFE" w:rsidRPr="0025255B">
        <w:rPr>
          <w:rFonts w:ascii="Calibri" w:hAnsi="Calibri" w:cs="Arial"/>
          <w:sz w:val="20"/>
          <w:szCs w:val="20"/>
        </w:rPr>
        <w:t xml:space="preserve"> Iz pregleda je vidljivo da povećanje prihoda od poreza </w:t>
      </w:r>
      <w:r w:rsidR="00CF1AFE" w:rsidRPr="0025255B">
        <w:rPr>
          <w:rFonts w:ascii="Calibri" w:hAnsi="Calibri" w:cs="Arial"/>
          <w:sz w:val="20"/>
          <w:szCs w:val="20"/>
        </w:rPr>
        <w:lastRenderedPageBreak/>
        <w:t xml:space="preserve">nije nadoknadilo gubitak pomoći te </w:t>
      </w:r>
      <w:r w:rsidR="00165F3F" w:rsidRPr="0025255B">
        <w:rPr>
          <w:rFonts w:ascii="Calibri" w:hAnsi="Calibri" w:cs="Arial"/>
          <w:sz w:val="20"/>
          <w:szCs w:val="20"/>
        </w:rPr>
        <w:t>su prihodi proračuna u 201</w:t>
      </w:r>
      <w:r w:rsidR="0025255B" w:rsidRPr="0025255B">
        <w:rPr>
          <w:rFonts w:ascii="Calibri" w:hAnsi="Calibri" w:cs="Arial"/>
          <w:sz w:val="20"/>
          <w:szCs w:val="20"/>
        </w:rPr>
        <w:t>6</w:t>
      </w:r>
      <w:r w:rsidR="00165F3F" w:rsidRPr="0025255B">
        <w:rPr>
          <w:rFonts w:ascii="Calibri" w:hAnsi="Calibri" w:cs="Arial"/>
          <w:sz w:val="20"/>
          <w:szCs w:val="20"/>
        </w:rPr>
        <w:t xml:space="preserve">. godini ostali na gotovo istom nivou kao i 2015. godine, </w:t>
      </w:r>
      <w:r w:rsidR="0025255B" w:rsidRPr="0025255B">
        <w:rPr>
          <w:rFonts w:ascii="Calibri" w:hAnsi="Calibri" w:cs="Arial"/>
          <w:sz w:val="20"/>
          <w:szCs w:val="20"/>
        </w:rPr>
        <w:t>odnosno neznatno su se smanjili.</w:t>
      </w:r>
    </w:p>
    <w:p w:rsidR="00775B87" w:rsidRPr="0025255B" w:rsidRDefault="00165F3F" w:rsidP="00904200">
      <w:pPr>
        <w:pStyle w:val="Tijeloteksta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25255B">
        <w:rPr>
          <w:rFonts w:asciiTheme="minorHAnsi" w:hAnsiTheme="minorHAnsi" w:cstheme="minorHAnsi"/>
          <w:sz w:val="20"/>
          <w:szCs w:val="20"/>
        </w:rPr>
        <w:tab/>
        <w:t>U financijsko</w:t>
      </w:r>
      <w:r w:rsidR="007C2C92" w:rsidRPr="0025255B">
        <w:rPr>
          <w:rFonts w:asciiTheme="minorHAnsi" w:hAnsiTheme="minorHAnsi" w:cstheme="minorHAnsi"/>
          <w:sz w:val="20"/>
          <w:szCs w:val="20"/>
        </w:rPr>
        <w:t>m</w:t>
      </w:r>
      <w:r w:rsidRPr="0025255B">
        <w:rPr>
          <w:rFonts w:asciiTheme="minorHAnsi" w:hAnsiTheme="minorHAnsi" w:cstheme="minorHAnsi"/>
          <w:sz w:val="20"/>
          <w:szCs w:val="20"/>
        </w:rPr>
        <w:t xml:space="preserve"> izvještaju  za razdoblje</w:t>
      </w:r>
      <w:r w:rsidR="001C51A0" w:rsidRPr="0025255B">
        <w:rPr>
          <w:rFonts w:asciiTheme="minorHAnsi" w:hAnsiTheme="minorHAnsi" w:cstheme="minorHAnsi"/>
          <w:sz w:val="20"/>
          <w:szCs w:val="20"/>
        </w:rPr>
        <w:t xml:space="preserve"> od 01.01.2017. do 30.09.2017. ostvareno je </w:t>
      </w:r>
      <w:r w:rsidR="00904200">
        <w:rPr>
          <w:rFonts w:asciiTheme="minorHAnsi" w:hAnsiTheme="minorHAnsi" w:cstheme="minorHAnsi"/>
          <w:sz w:val="20"/>
          <w:szCs w:val="20"/>
        </w:rPr>
        <w:t xml:space="preserve">za 9,12% </w:t>
      </w:r>
      <w:r w:rsidR="001C51A0" w:rsidRPr="0025255B">
        <w:rPr>
          <w:rFonts w:asciiTheme="minorHAnsi" w:hAnsiTheme="minorHAnsi" w:cstheme="minorHAnsi"/>
          <w:sz w:val="20"/>
          <w:szCs w:val="20"/>
        </w:rPr>
        <w:t xml:space="preserve">manje ukupnih prihoda  u odnosu na isto razdoblje 2016. godine. Najveće smanjenje prihoda očituje se na prihodima od poreza koji su manji za 541.100,37 kn uslijed </w:t>
      </w:r>
      <w:r w:rsidR="00775B87" w:rsidRPr="0025255B">
        <w:rPr>
          <w:rFonts w:asciiTheme="minorHAnsi" w:hAnsiTheme="minorHAnsi" w:cstheme="minorHAnsi"/>
          <w:sz w:val="20"/>
          <w:szCs w:val="20"/>
        </w:rPr>
        <w:t xml:space="preserve">provedbe porezne reforme koja je stupila na snagu 01. siječnja 2017. godine čijom primjenom je smanjen prihod od poreza na dohodak radi povećanja neoporezivog dijela plaće zaposlenih. </w:t>
      </w:r>
    </w:p>
    <w:p w:rsidR="005937E7" w:rsidRPr="0025255B" w:rsidRDefault="005937E7" w:rsidP="00775B87">
      <w:pPr>
        <w:pStyle w:val="Tijeloteksta"/>
        <w:rPr>
          <w:rFonts w:asciiTheme="minorHAnsi" w:hAnsiTheme="minorHAnsi" w:cstheme="minorHAnsi"/>
          <w:sz w:val="20"/>
          <w:szCs w:val="20"/>
        </w:rPr>
      </w:pPr>
    </w:p>
    <w:p w:rsidR="005937E7" w:rsidRPr="0025255B" w:rsidRDefault="005937E7" w:rsidP="005937E7">
      <w:pPr>
        <w:pStyle w:val="Tijeloteksta"/>
        <w:jc w:val="center"/>
        <w:rPr>
          <w:rFonts w:asciiTheme="minorHAnsi" w:hAnsiTheme="minorHAnsi" w:cstheme="minorHAnsi"/>
          <w:sz w:val="20"/>
          <w:szCs w:val="20"/>
        </w:rPr>
      </w:pPr>
      <w:r w:rsidRPr="0025255B">
        <w:rPr>
          <w:rFonts w:asciiTheme="minorHAnsi" w:hAnsiTheme="minorHAnsi" w:cstheme="minorHAnsi"/>
          <w:sz w:val="20"/>
          <w:szCs w:val="20"/>
        </w:rPr>
        <w:t>IZVJEŠTAJ O RASHODIMA I IZDACIMA</w:t>
      </w:r>
    </w:p>
    <w:p w:rsidR="00D9062D" w:rsidRDefault="00D9062D" w:rsidP="001427FC">
      <w:pPr>
        <w:pStyle w:val="Bezproreda"/>
        <w:spacing w:line="276" w:lineRule="auto"/>
        <w:rPr>
          <w:rFonts w:cstheme="minorHAnsi"/>
        </w:rPr>
      </w:pP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3633"/>
        <w:gridCol w:w="1416"/>
        <w:gridCol w:w="1415"/>
        <w:gridCol w:w="1416"/>
        <w:gridCol w:w="1408"/>
      </w:tblGrid>
      <w:tr w:rsidR="00977CC5" w:rsidTr="00977CC5">
        <w:tc>
          <w:tcPr>
            <w:tcW w:w="3633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RASHODI I IZDACI PO VRSTI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IZVRŠENJE 31.12.2015.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 xml:space="preserve">IZVRŠENJE </w:t>
            </w:r>
            <w:r>
              <w:rPr>
                <w:rFonts w:cstheme="minorHAnsi"/>
                <w:b/>
                <w:sz w:val="18"/>
                <w:szCs w:val="18"/>
              </w:rPr>
              <w:t>30.09.2016</w:t>
            </w:r>
            <w:r w:rsidRPr="00074E14">
              <w:rPr>
                <w:rFonts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977CC5" w:rsidRPr="00074E14" w:rsidRDefault="00977CC5" w:rsidP="00890C06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Rashodi za zaposlene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1.942.645,52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2.153.229,55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1.599.395,73</w:t>
            </w:r>
          </w:p>
        </w:tc>
        <w:tc>
          <w:tcPr>
            <w:tcW w:w="1408" w:type="dxa"/>
          </w:tcPr>
          <w:p w:rsidR="00977CC5" w:rsidRPr="00520400" w:rsidRDefault="001C51A0" w:rsidP="00890C06">
            <w:pPr>
              <w:pStyle w:val="Bezproreda"/>
              <w:spacing w:line="276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</w:t>
            </w:r>
            <w:r w:rsidR="00977CC5">
              <w:rPr>
                <w:rFonts w:cstheme="minorHAnsi"/>
                <w:sz w:val="18"/>
                <w:szCs w:val="18"/>
              </w:rPr>
              <w:t>1</w:t>
            </w:r>
            <w:r>
              <w:rPr>
                <w:rFonts w:cstheme="minorHAnsi"/>
                <w:sz w:val="18"/>
                <w:szCs w:val="18"/>
              </w:rPr>
              <w:t>.527.514,96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Materijalni rashodi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3.010.561,64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2.784.987,77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2.047.041,83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2.167.199,41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Financijski rashodi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26.236,71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61.974,85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82.514,47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25.422,30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Subvencije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39.667,29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52.699,57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15.301,44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19.156,51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276.608,63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187.446,70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133.810,83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108.043,16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595.904,99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601.344,75</w:t>
            </w:r>
          </w:p>
        </w:tc>
        <w:tc>
          <w:tcPr>
            <w:tcW w:w="1416" w:type="dxa"/>
          </w:tcPr>
          <w:p w:rsidR="00977CC5" w:rsidRPr="00520400" w:rsidRDefault="009958AA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392.359,43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378.138,77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Ostali rashodi (donacije)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416.190,74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583.735,01</w:t>
            </w:r>
          </w:p>
        </w:tc>
        <w:tc>
          <w:tcPr>
            <w:tcW w:w="1416" w:type="dxa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357.080,58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586.289,58</w:t>
            </w:r>
          </w:p>
        </w:tc>
      </w:tr>
      <w:tr w:rsidR="00977CC5" w:rsidTr="00977CC5">
        <w:tc>
          <w:tcPr>
            <w:tcW w:w="3633" w:type="dxa"/>
            <w:shd w:val="clear" w:color="auto" w:fill="DBE5F1" w:themeFill="accent1" w:themeFillTint="33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UKUPNO RASHODI POSLOVANJA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6.307.815,52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6.425.418,20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4.627.504,31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4.811.764,69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62.539,09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17.148,83</w:t>
            </w:r>
          </w:p>
        </w:tc>
        <w:tc>
          <w:tcPr>
            <w:tcW w:w="1416" w:type="dxa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17.148,83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48.645,33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Rashodi za nabavu proizvedene dugotrajne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520400">
              <w:rPr>
                <w:rFonts w:cstheme="minorHAnsi"/>
                <w:sz w:val="18"/>
                <w:szCs w:val="18"/>
              </w:rPr>
              <w:t>imovine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2.140.124,86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1.148.007,47</w:t>
            </w:r>
          </w:p>
        </w:tc>
        <w:tc>
          <w:tcPr>
            <w:tcW w:w="1416" w:type="dxa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766.286,54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524.435,64</w:t>
            </w:r>
          </w:p>
        </w:tc>
      </w:tr>
      <w:tr w:rsidR="00977CC5" w:rsidTr="00977CC5">
        <w:tc>
          <w:tcPr>
            <w:tcW w:w="3633" w:type="dxa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416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718.167,91</w:t>
            </w:r>
          </w:p>
        </w:tc>
        <w:tc>
          <w:tcPr>
            <w:tcW w:w="1415" w:type="dxa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1.297.979,08</w:t>
            </w:r>
          </w:p>
        </w:tc>
        <w:tc>
          <w:tcPr>
            <w:tcW w:w="1416" w:type="dxa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1.185.023,50</w:t>
            </w:r>
          </w:p>
        </w:tc>
        <w:tc>
          <w:tcPr>
            <w:tcW w:w="1408" w:type="dxa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10.375,00</w:t>
            </w:r>
          </w:p>
        </w:tc>
      </w:tr>
      <w:tr w:rsidR="00977CC5" w:rsidTr="00977CC5">
        <w:tc>
          <w:tcPr>
            <w:tcW w:w="3633" w:type="dxa"/>
            <w:shd w:val="clear" w:color="auto" w:fill="DBE5F1" w:themeFill="accent1" w:themeFillTint="33"/>
          </w:tcPr>
          <w:p w:rsidR="00977CC5" w:rsidRPr="00520400" w:rsidRDefault="00977CC5" w:rsidP="00F31C26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520400">
              <w:rPr>
                <w:rFonts w:cstheme="minorHAnsi"/>
                <w:sz w:val="18"/>
                <w:szCs w:val="18"/>
              </w:rPr>
              <w:t>UKUPNO RASHODI ZA NABAVU NEFINANCIJSKE IMOVINE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2.920.831,86</w:t>
            </w:r>
          </w:p>
        </w:tc>
        <w:tc>
          <w:tcPr>
            <w:tcW w:w="1415" w:type="dxa"/>
            <w:shd w:val="clear" w:color="auto" w:fill="DBE5F1" w:themeFill="accent1" w:themeFillTint="33"/>
          </w:tcPr>
          <w:p w:rsidR="00977CC5" w:rsidRPr="00520400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2.463.135,38</w:t>
            </w:r>
          </w:p>
        </w:tc>
        <w:tc>
          <w:tcPr>
            <w:tcW w:w="1416" w:type="dxa"/>
            <w:shd w:val="clear" w:color="auto" w:fill="DBE5F1" w:themeFill="accent1" w:themeFillTint="33"/>
          </w:tcPr>
          <w:p w:rsidR="00977CC5" w:rsidRPr="00520400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1.968.458,87</w:t>
            </w:r>
          </w:p>
        </w:tc>
        <w:tc>
          <w:tcPr>
            <w:tcW w:w="1408" w:type="dxa"/>
            <w:shd w:val="clear" w:color="auto" w:fill="DBE5F1" w:themeFill="accent1" w:themeFillTint="33"/>
          </w:tcPr>
          <w:p w:rsidR="00977CC5" w:rsidRPr="00520400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583.455,97</w:t>
            </w:r>
          </w:p>
        </w:tc>
      </w:tr>
      <w:tr w:rsidR="00977CC5" w:rsidTr="00977CC5">
        <w:tc>
          <w:tcPr>
            <w:tcW w:w="3633" w:type="dxa"/>
            <w:shd w:val="clear" w:color="auto" w:fill="B8CCE4" w:themeFill="accent1" w:themeFillTint="66"/>
          </w:tcPr>
          <w:p w:rsidR="00977CC5" w:rsidRPr="00074E14" w:rsidRDefault="00977CC5" w:rsidP="00F31C26">
            <w:pPr>
              <w:pStyle w:val="Bezproreda"/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UKUPNO RASHODI: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074E14">
              <w:rPr>
                <w:rFonts w:cstheme="minorHAnsi"/>
                <w:b/>
                <w:sz w:val="18"/>
                <w:szCs w:val="18"/>
              </w:rPr>
              <w:t>9.228.647,38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977CC5" w:rsidRPr="00074E14" w:rsidRDefault="00977CC5" w:rsidP="00074E14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8.888.553,58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977CC5" w:rsidRPr="00074E14" w:rsidRDefault="00C34834" w:rsidP="009958AA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6.595.963,18</w:t>
            </w:r>
          </w:p>
        </w:tc>
        <w:tc>
          <w:tcPr>
            <w:tcW w:w="1408" w:type="dxa"/>
            <w:shd w:val="clear" w:color="auto" w:fill="B8CCE4" w:themeFill="accent1" w:themeFillTint="66"/>
          </w:tcPr>
          <w:p w:rsidR="00977CC5" w:rsidRPr="00074E14" w:rsidRDefault="00977CC5" w:rsidP="00890C06">
            <w:pPr>
              <w:pStyle w:val="Bezproreda"/>
              <w:spacing w:line="276" w:lineRule="auto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5.395.220,66</w:t>
            </w:r>
          </w:p>
        </w:tc>
      </w:tr>
    </w:tbl>
    <w:p w:rsidR="00D9062D" w:rsidRDefault="00D9062D" w:rsidP="00D9062D">
      <w:pPr>
        <w:pStyle w:val="Bezproreda"/>
        <w:spacing w:line="276" w:lineRule="auto"/>
        <w:rPr>
          <w:rFonts w:cstheme="minorHAnsi"/>
          <w:sz w:val="24"/>
          <w:szCs w:val="24"/>
        </w:rPr>
      </w:pPr>
    </w:p>
    <w:p w:rsidR="00977CC5" w:rsidRPr="0025255B" w:rsidRDefault="00977CC5" w:rsidP="007C2C92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 xml:space="preserve">Usporedbom izvršenja </w:t>
      </w:r>
      <w:r w:rsidR="005937E7" w:rsidRPr="0025255B">
        <w:rPr>
          <w:rFonts w:cstheme="minorHAnsi"/>
          <w:sz w:val="20"/>
          <w:szCs w:val="20"/>
        </w:rPr>
        <w:t xml:space="preserve">rashoda </w:t>
      </w:r>
      <w:r w:rsidRPr="0025255B">
        <w:rPr>
          <w:rFonts w:cstheme="minorHAnsi"/>
          <w:sz w:val="20"/>
          <w:szCs w:val="20"/>
        </w:rPr>
        <w:t>proračuna za 2016. godinu u odnosu na 2015. godinu, vidljivo je da su ukupni rashodi smanjeni za 3,69%. Najveće smanjenje očituje se u smanjenju materija</w:t>
      </w:r>
      <w:r w:rsidR="0044076A" w:rsidRPr="0025255B">
        <w:rPr>
          <w:rFonts w:cstheme="minorHAnsi"/>
          <w:sz w:val="20"/>
          <w:szCs w:val="20"/>
        </w:rPr>
        <w:t xml:space="preserve">lnih rashoda, </w:t>
      </w:r>
      <w:r w:rsidRPr="0025255B">
        <w:rPr>
          <w:rFonts w:cstheme="minorHAnsi"/>
          <w:sz w:val="20"/>
          <w:szCs w:val="20"/>
        </w:rPr>
        <w:t xml:space="preserve"> pomoći</w:t>
      </w:r>
      <w:r w:rsidR="0044076A" w:rsidRPr="0025255B">
        <w:rPr>
          <w:rFonts w:cstheme="minorHAnsi"/>
          <w:sz w:val="20"/>
          <w:szCs w:val="20"/>
        </w:rPr>
        <w:t xml:space="preserve"> te rashoda za nabavu proizvedene dugotrajne imovine</w:t>
      </w:r>
      <w:r w:rsidRPr="0025255B">
        <w:rPr>
          <w:rFonts w:cstheme="minorHAnsi"/>
          <w:sz w:val="20"/>
          <w:szCs w:val="20"/>
        </w:rPr>
        <w:t>, dok je vidljivo povećanje</w:t>
      </w:r>
      <w:r w:rsidR="0044076A" w:rsidRPr="0025255B">
        <w:rPr>
          <w:rFonts w:cstheme="minorHAnsi"/>
          <w:sz w:val="20"/>
          <w:szCs w:val="20"/>
        </w:rPr>
        <w:t xml:space="preserve"> svih ostalih rashoda, ali u okvirima ostvarenih prihoda tekuće godine. </w:t>
      </w:r>
    </w:p>
    <w:p w:rsidR="0044076A" w:rsidRPr="0025255B" w:rsidRDefault="0044076A" w:rsidP="007C2C92">
      <w:pPr>
        <w:pStyle w:val="Bezproreda"/>
        <w:spacing w:line="276" w:lineRule="auto"/>
        <w:jc w:val="both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ab/>
        <w:t xml:space="preserve">U financijskom izvještaju  za razdoblje od 01.01.2017. do 30.09.2017., </w:t>
      </w:r>
      <w:r w:rsidR="005937E7" w:rsidRPr="0025255B">
        <w:rPr>
          <w:rFonts w:cstheme="minorHAnsi"/>
          <w:sz w:val="20"/>
          <w:szCs w:val="20"/>
        </w:rPr>
        <w:t>evidentno je da su rashodi u navedenom razdoblju manji za 1.200.742,52 kn u odnosu na isto razdoblje 2016. godine, odnosno manji su za 18,20%. Najveće smanjenje očituje se  na svim rashodima za nabavu nefinancijske imovine.</w:t>
      </w:r>
    </w:p>
    <w:p w:rsidR="00BA1659" w:rsidRPr="0025255B" w:rsidRDefault="00BA1659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D9062D" w:rsidRPr="0025255B" w:rsidRDefault="000D06B4" w:rsidP="009C08AB">
      <w:pPr>
        <w:pStyle w:val="Bezproreda"/>
        <w:spacing w:line="276" w:lineRule="auto"/>
        <w:jc w:val="center"/>
        <w:rPr>
          <w:rFonts w:cstheme="minorHAnsi"/>
          <w:sz w:val="20"/>
          <w:szCs w:val="20"/>
        </w:rPr>
      </w:pPr>
      <w:r w:rsidRPr="0025255B">
        <w:rPr>
          <w:rFonts w:cstheme="minorHAnsi"/>
          <w:sz w:val="20"/>
          <w:szCs w:val="20"/>
        </w:rPr>
        <w:t>REZULTAT POSLOVANJA</w:t>
      </w:r>
    </w:p>
    <w:p w:rsidR="007C2C92" w:rsidRPr="007C0A03" w:rsidRDefault="007C2C92" w:rsidP="001427FC">
      <w:pPr>
        <w:pStyle w:val="Bezproreda"/>
        <w:spacing w:line="276" w:lineRule="auto"/>
        <w:rPr>
          <w:rFonts w:cstheme="minorHAnsi"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66"/>
        <w:gridCol w:w="1401"/>
        <w:gridCol w:w="1400"/>
        <w:gridCol w:w="1401"/>
        <w:gridCol w:w="1394"/>
      </w:tblGrid>
      <w:tr w:rsidR="007C2C92" w:rsidRPr="007C0A03" w:rsidTr="009C08AB">
        <w:tc>
          <w:tcPr>
            <w:tcW w:w="3632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OPIS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IZVRŠENJE 31.12.2015.</w:t>
            </w:r>
          </w:p>
        </w:tc>
        <w:tc>
          <w:tcPr>
            <w:tcW w:w="1415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IZVRŠENJE 31.12.2016.</w:t>
            </w:r>
          </w:p>
        </w:tc>
        <w:tc>
          <w:tcPr>
            <w:tcW w:w="1416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IZVRŠENJE 30.09.2016.</w:t>
            </w:r>
          </w:p>
        </w:tc>
        <w:tc>
          <w:tcPr>
            <w:tcW w:w="1409" w:type="dxa"/>
            <w:shd w:val="clear" w:color="auto" w:fill="B8CCE4" w:themeFill="accent1" w:themeFillTint="66"/>
          </w:tcPr>
          <w:p w:rsidR="007C2C92" w:rsidRPr="007C2C92" w:rsidRDefault="007C2C92" w:rsidP="007C2C92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C2C92">
              <w:rPr>
                <w:rFonts w:cstheme="minorHAnsi"/>
                <w:b/>
                <w:sz w:val="18"/>
                <w:szCs w:val="18"/>
              </w:rPr>
              <w:t>IZVRŠENJE 30.09.2017.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Ukupni prihodi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9.225.404,59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8.914.282,29</w:t>
            </w:r>
          </w:p>
        </w:tc>
        <w:tc>
          <w:tcPr>
            <w:tcW w:w="1416" w:type="dxa"/>
          </w:tcPr>
          <w:p w:rsidR="007C2C92" w:rsidRPr="007C0A03" w:rsidRDefault="00C34834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6.147.732,51</w:t>
            </w: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5.587.189,17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Ukupni rashodi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9.228.647,38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8.888.553,58</w:t>
            </w:r>
          </w:p>
        </w:tc>
        <w:tc>
          <w:tcPr>
            <w:tcW w:w="1416" w:type="dxa"/>
          </w:tcPr>
          <w:p w:rsidR="007C2C92" w:rsidRPr="007C0A03" w:rsidRDefault="00C34834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6.595.963,18</w:t>
            </w: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5.395.220,66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Financijski rezultat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-3.242,79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25.728,71</w:t>
            </w:r>
          </w:p>
        </w:tc>
        <w:tc>
          <w:tcPr>
            <w:tcW w:w="1416" w:type="dxa"/>
          </w:tcPr>
          <w:p w:rsidR="007C2C92" w:rsidRPr="007C0A03" w:rsidRDefault="00C34834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-448.230,67</w:t>
            </w: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191.968,51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Preneseni manjak iz prethodnih godina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-1.106.897,64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-1.110.140,43</w:t>
            </w:r>
          </w:p>
        </w:tc>
        <w:tc>
          <w:tcPr>
            <w:tcW w:w="1416" w:type="dxa"/>
          </w:tcPr>
          <w:p w:rsidR="007C2C92" w:rsidRPr="007C0A03" w:rsidRDefault="00C34834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-1.110.140,43</w:t>
            </w: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-1.084.411,72</w:t>
            </w:r>
          </w:p>
        </w:tc>
      </w:tr>
      <w:tr w:rsidR="007C2C92" w:rsidRPr="007C0A03" w:rsidTr="00977CC5">
        <w:tc>
          <w:tcPr>
            <w:tcW w:w="3632" w:type="dxa"/>
          </w:tcPr>
          <w:p w:rsidR="007C2C92" w:rsidRPr="007C0A03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Manjak za pokriće u sljedećem razdoblju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-1.110.140,43</w:t>
            </w:r>
          </w:p>
        </w:tc>
        <w:tc>
          <w:tcPr>
            <w:tcW w:w="1415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-1.084.411,72</w:t>
            </w:r>
          </w:p>
        </w:tc>
        <w:tc>
          <w:tcPr>
            <w:tcW w:w="1416" w:type="dxa"/>
          </w:tcPr>
          <w:p w:rsidR="007C2C92" w:rsidRPr="007C0A03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7C2C92" w:rsidRPr="007C0A03" w:rsidRDefault="007C2C92" w:rsidP="00890C06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 w:rsidRPr="007C0A03">
              <w:rPr>
                <w:rFonts w:cstheme="minorHAnsi"/>
                <w:sz w:val="18"/>
                <w:szCs w:val="18"/>
              </w:rPr>
              <w:t>-892.443,21</w:t>
            </w:r>
          </w:p>
        </w:tc>
      </w:tr>
      <w:tr w:rsidR="005937E7" w:rsidRPr="005937E7" w:rsidTr="00977CC5">
        <w:tc>
          <w:tcPr>
            <w:tcW w:w="3632" w:type="dxa"/>
          </w:tcPr>
          <w:p w:rsidR="007C2C92" w:rsidRPr="009C08AB" w:rsidRDefault="007C2C92" w:rsidP="001427FC">
            <w:pPr>
              <w:pStyle w:val="Bezproreda"/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C08AB">
              <w:rPr>
                <w:rFonts w:cstheme="minorHAnsi"/>
                <w:sz w:val="18"/>
                <w:szCs w:val="18"/>
              </w:rPr>
              <w:t xml:space="preserve">Povrat državne potpore </w:t>
            </w:r>
            <w:r w:rsidR="005937E7" w:rsidRPr="009C08AB">
              <w:rPr>
                <w:rFonts w:cstheme="minorHAnsi"/>
                <w:sz w:val="18"/>
                <w:szCs w:val="18"/>
              </w:rPr>
              <w:t xml:space="preserve">iz 2014. godine </w:t>
            </w:r>
            <w:r w:rsidRPr="009C08AB">
              <w:rPr>
                <w:rFonts w:cstheme="minorHAnsi"/>
                <w:sz w:val="18"/>
                <w:szCs w:val="18"/>
              </w:rPr>
              <w:t>u Državni proračun</w:t>
            </w:r>
          </w:p>
        </w:tc>
        <w:tc>
          <w:tcPr>
            <w:tcW w:w="1416" w:type="dxa"/>
          </w:tcPr>
          <w:p w:rsidR="007C2C92" w:rsidRPr="009C08AB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</w:tcPr>
          <w:p w:rsidR="007C2C92" w:rsidRPr="009C08AB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</w:tcPr>
          <w:p w:rsidR="007C2C92" w:rsidRPr="009C08AB" w:rsidRDefault="007C2C92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09" w:type="dxa"/>
          </w:tcPr>
          <w:p w:rsidR="007C2C92" w:rsidRPr="009C08AB" w:rsidRDefault="009C08AB" w:rsidP="00AB0597">
            <w:pPr>
              <w:pStyle w:val="Bezproreda"/>
              <w:spacing w:line="276" w:lineRule="auto"/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-</w:t>
            </w:r>
            <w:r w:rsidR="005937E7" w:rsidRPr="009C08AB">
              <w:rPr>
                <w:rFonts w:cstheme="minorHAnsi"/>
                <w:sz w:val="18"/>
                <w:szCs w:val="18"/>
              </w:rPr>
              <w:t>47.320,00</w:t>
            </w:r>
          </w:p>
        </w:tc>
      </w:tr>
    </w:tbl>
    <w:p w:rsidR="007C2C92" w:rsidRDefault="007C2C92" w:rsidP="0044076A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:rsidR="000D06B4" w:rsidRPr="00904200" w:rsidRDefault="0044076A" w:rsidP="0044076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lastRenderedPageBreak/>
        <w:t>Preneseni manjak prihoda i primitaka posljedica je višegodišnjih nepovoljnih gospodarskih kretanja u hrvatskom gospodarstvu, koja su se neminovno odrazila na ostvarenje prihoda Proračuna Općine Stubičke Toplice. Unatoč nepovoljnoj ekonomskoj situaciji, kroz cijelo višegodišnje razdoblje trajanja ekonomske krize, prioritet je bio da se u Proračunu Općine zadrži postignuta razina standarda u području obrazovanja, socijalne skrbi, kulture, sporta, zaštite i spašavanja, zaštite okoliša te  održavanja komunalne infrastrukture.</w:t>
      </w:r>
    </w:p>
    <w:p w:rsidR="0044076A" w:rsidRPr="00904200" w:rsidRDefault="0044076A" w:rsidP="0044076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 xml:space="preserve">Nadalje, zbog izmjene zakonskih propisa koje su stupile na snagu početkom 2015. godine, Općina Stubičke Toplice je bila suočena s dodatnim smanjenjem prihoda od poreza na dohodak kao najznačajnijeg prihoda proračuna. Slijedom navedenog, u proteklim godinama nije bilo dostatnih izvora financiranja da se, uz tekuće proračunske potrebe, pokrije i manjak iz prethodnog razdoblja. </w:t>
      </w:r>
    </w:p>
    <w:p w:rsidR="009C08AB" w:rsidRPr="00904200" w:rsidRDefault="009C08AB" w:rsidP="0044076A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</w:p>
    <w:p w:rsidR="00551E3C" w:rsidRPr="00904200" w:rsidRDefault="00551E3C" w:rsidP="001427FC">
      <w:pPr>
        <w:pStyle w:val="Bezproreda"/>
        <w:spacing w:line="276" w:lineRule="auto"/>
        <w:rPr>
          <w:rFonts w:cstheme="minorHAnsi"/>
          <w:color w:val="FF0000"/>
          <w:sz w:val="20"/>
          <w:szCs w:val="20"/>
        </w:rPr>
      </w:pPr>
    </w:p>
    <w:p w:rsidR="00D9062D" w:rsidRPr="00904200" w:rsidRDefault="007C0A03" w:rsidP="007C0A03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904200">
        <w:rPr>
          <w:rFonts w:cstheme="minorHAnsi"/>
          <w:b/>
          <w:sz w:val="20"/>
          <w:szCs w:val="20"/>
        </w:rPr>
        <w:t>Prijedlog mjera za otklanjanje uzroka negativnog poslovanja i mjera za stabilno poslovanje</w:t>
      </w:r>
    </w:p>
    <w:p w:rsidR="007C0A03" w:rsidRPr="00904200" w:rsidRDefault="007C0A03" w:rsidP="007C0A03">
      <w:pPr>
        <w:pStyle w:val="Bezproreda"/>
        <w:spacing w:line="276" w:lineRule="auto"/>
        <w:ind w:left="720"/>
        <w:rPr>
          <w:rFonts w:cstheme="minorHAnsi"/>
          <w:b/>
          <w:sz w:val="20"/>
          <w:szCs w:val="20"/>
        </w:rPr>
      </w:pPr>
    </w:p>
    <w:p w:rsidR="007C0A03" w:rsidRPr="00904200" w:rsidRDefault="00904200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 xml:space="preserve">Odlukom o donošenju proračuna </w:t>
      </w:r>
      <w:r w:rsidR="007C0A03" w:rsidRPr="00904200">
        <w:rPr>
          <w:rFonts w:cstheme="minorHAnsi"/>
          <w:sz w:val="20"/>
          <w:szCs w:val="20"/>
        </w:rPr>
        <w:t>te izmjenama i dopunama planirati pokriće manjka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Kod planiranja i izvršavanja proračuna prioritet imaju zakonske i ugovorne obveze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Kontinuirano praćenje naplate prihoda i preuzimanje obveza u skladu s njihovim ostvarenjem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Pravovremeno poduzimanje mjera naplate potraživanja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Povećanje financiranja proračunskih projekata i aktivnosti iz tekućih i kapitalnih pomoći prijavom projekata na natječaje europskih i drugih fondova</w:t>
      </w:r>
    </w:p>
    <w:p w:rsidR="009C4103" w:rsidRPr="00904200" w:rsidRDefault="009C41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Uvođenje sustava za evidentiranje i upravljanje nekretninama  u vlasništvu općine</w:t>
      </w:r>
    </w:p>
    <w:p w:rsidR="007C0A03" w:rsidRPr="00904200" w:rsidRDefault="007C0A03" w:rsidP="007C0A03">
      <w:pPr>
        <w:pStyle w:val="Bezproreda"/>
        <w:numPr>
          <w:ilvl w:val="0"/>
          <w:numId w:val="7"/>
        </w:numPr>
        <w:spacing w:line="276" w:lineRule="auto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Smanjenje materijalnih rashoda uz zadržavanje kvalitete rada i pružanja usluga građanima</w:t>
      </w:r>
    </w:p>
    <w:p w:rsidR="000C6DE6" w:rsidRPr="00904200" w:rsidRDefault="000C6DE6" w:rsidP="000C6DE6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6A4432" w:rsidRDefault="006A4432" w:rsidP="000C6DE6">
      <w:pPr>
        <w:pStyle w:val="Bezproreda"/>
        <w:spacing w:line="276" w:lineRule="auto"/>
        <w:rPr>
          <w:rFonts w:cstheme="minorHAnsi"/>
        </w:rPr>
      </w:pPr>
    </w:p>
    <w:p w:rsidR="006A4432" w:rsidRPr="00904200" w:rsidRDefault="008A0D3F" w:rsidP="008A0D3F">
      <w:pPr>
        <w:pStyle w:val="Bezproreda"/>
        <w:numPr>
          <w:ilvl w:val="0"/>
          <w:numId w:val="5"/>
        </w:numPr>
        <w:spacing w:line="276" w:lineRule="auto"/>
        <w:rPr>
          <w:rFonts w:cstheme="minorHAnsi"/>
          <w:b/>
          <w:sz w:val="20"/>
          <w:szCs w:val="20"/>
        </w:rPr>
      </w:pPr>
      <w:r w:rsidRPr="00904200">
        <w:rPr>
          <w:rFonts w:cstheme="minorHAnsi"/>
          <w:b/>
          <w:sz w:val="20"/>
          <w:szCs w:val="20"/>
        </w:rPr>
        <w:t>A</w:t>
      </w:r>
      <w:r w:rsidR="00BA1659" w:rsidRPr="00904200">
        <w:rPr>
          <w:rFonts w:cstheme="minorHAnsi"/>
          <w:b/>
          <w:sz w:val="20"/>
          <w:szCs w:val="20"/>
        </w:rPr>
        <w:t>kcijski plan provedbe mjera</w:t>
      </w:r>
    </w:p>
    <w:p w:rsidR="00D9062D" w:rsidRPr="00395C1D" w:rsidRDefault="00D9062D" w:rsidP="003D3222">
      <w:pPr>
        <w:pStyle w:val="Bezproreda"/>
        <w:spacing w:line="276" w:lineRule="auto"/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Ind w:w="534" w:type="dxa"/>
        <w:tblLook w:val="04A0" w:firstRow="1" w:lastRow="0" w:firstColumn="1" w:lastColumn="0" w:noHBand="0" w:noVBand="1"/>
      </w:tblPr>
      <w:tblGrid>
        <w:gridCol w:w="3863"/>
        <w:gridCol w:w="3008"/>
        <w:gridCol w:w="1657"/>
      </w:tblGrid>
      <w:tr w:rsidR="008A0D3F" w:rsidRPr="00395C1D" w:rsidTr="008A0D3F">
        <w:tc>
          <w:tcPr>
            <w:tcW w:w="3969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NAZIV MJERE</w:t>
            </w:r>
          </w:p>
        </w:tc>
        <w:tc>
          <w:tcPr>
            <w:tcW w:w="3105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OPIS/NAČIN PROVEDBE</w:t>
            </w:r>
          </w:p>
        </w:tc>
        <w:tc>
          <w:tcPr>
            <w:tcW w:w="1680" w:type="dxa"/>
            <w:shd w:val="clear" w:color="auto" w:fill="EAF1DD" w:themeFill="accent3" w:themeFillTint="33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ROK PROVEDBE</w:t>
            </w:r>
          </w:p>
        </w:tc>
      </w:tr>
      <w:tr w:rsidR="008A0D3F" w:rsidRPr="00395C1D" w:rsidTr="008A0D3F">
        <w:tc>
          <w:tcPr>
            <w:tcW w:w="3969" w:type="dxa"/>
          </w:tcPr>
          <w:p w:rsidR="008A0D3F" w:rsidRPr="00395C1D" w:rsidRDefault="00904200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Odlukom o donošenju proračuna</w:t>
            </w:r>
            <w:r w:rsidR="008A0D3F" w:rsidRPr="00395C1D">
              <w:rPr>
                <w:rFonts w:cstheme="minorHAnsi"/>
                <w:sz w:val="20"/>
                <w:szCs w:val="20"/>
              </w:rPr>
              <w:t xml:space="preserve"> te izmjenama i dopunama planirati pokriće manjka</w:t>
            </w:r>
          </w:p>
          <w:p w:rsidR="008A0D3F" w:rsidRPr="00395C1D" w:rsidRDefault="008A0D3F" w:rsidP="008A0D3F">
            <w:pPr>
              <w:pStyle w:val="Bezproreda"/>
              <w:spacing w:line="276" w:lineRule="auto"/>
              <w:ind w:left="36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04200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Proračun</w:t>
            </w:r>
            <w:r w:rsidR="008A0D3F" w:rsidRPr="00395C1D">
              <w:rPr>
                <w:rFonts w:cstheme="minorHAnsi"/>
                <w:sz w:val="20"/>
                <w:szCs w:val="20"/>
              </w:rPr>
              <w:t xml:space="preserve"> koji uključuje rezultat poslovanja pruža cjelovit financijski okvir za donošenje odluka o budućoj potrošnji i izvorima financiranja. </w:t>
            </w:r>
          </w:p>
        </w:tc>
        <w:tc>
          <w:tcPr>
            <w:tcW w:w="1680" w:type="dxa"/>
          </w:tcPr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15. studenog 2017., a prema potrebi prilikom izmjena i dopuna Proračuna</w:t>
            </w:r>
            <w:r w:rsidR="009C4103" w:rsidRPr="00395C1D">
              <w:rPr>
                <w:rFonts w:cstheme="minorHAnsi"/>
                <w:sz w:val="20"/>
                <w:szCs w:val="20"/>
              </w:rPr>
              <w:t xml:space="preserve"> u narednom razdoblju</w:t>
            </w:r>
          </w:p>
        </w:tc>
      </w:tr>
      <w:tr w:rsidR="008A0D3F" w:rsidRPr="00395C1D" w:rsidTr="008A0D3F">
        <w:tc>
          <w:tcPr>
            <w:tcW w:w="3969" w:type="dxa"/>
          </w:tcPr>
          <w:p w:rsidR="008A0D3F" w:rsidRPr="00395C1D" w:rsidRDefault="008A0D3F" w:rsidP="008A0D3F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Kod planiranja i izvršavanja proračuna prioritet imaju zakonske i ugovorne obveze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 xml:space="preserve">Mjera podrazumijeva prioritetno podmirivanje već preuzetih obveza, odnosno zakonskih obveza (financiranje </w:t>
            </w:r>
            <w:r w:rsidR="002A31CB" w:rsidRPr="00395C1D">
              <w:rPr>
                <w:rFonts w:cstheme="minorHAnsi"/>
                <w:sz w:val="20"/>
                <w:szCs w:val="20"/>
              </w:rPr>
              <w:t>redovne djelatnosti proračunskog</w:t>
            </w:r>
            <w:r w:rsidRPr="00395C1D">
              <w:rPr>
                <w:rFonts w:cstheme="minorHAnsi"/>
                <w:sz w:val="20"/>
                <w:szCs w:val="20"/>
              </w:rPr>
              <w:t xml:space="preserve"> korisnika i jedinstvenog upravno odjela, vatrogastva i dr.)</w:t>
            </w:r>
          </w:p>
        </w:tc>
        <w:tc>
          <w:tcPr>
            <w:tcW w:w="1680" w:type="dxa"/>
          </w:tcPr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:rsidR="008A0D3F" w:rsidRPr="00395C1D" w:rsidRDefault="008A0D3F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8A0D3F">
        <w:tc>
          <w:tcPr>
            <w:tcW w:w="3969" w:type="dxa"/>
          </w:tcPr>
          <w:p w:rsidR="002A31CB" w:rsidRPr="00395C1D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 praćenje naplate prihoda i preuzimanje obveza u skladu s njihovim ostvarenjem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2A31C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Mjera uključuje preuzimanje obveza u skladu s dinamikom ostvarenja izvora financiranja kako je definirano u Planu proračuna. Izrada kvartalnih izvještaja o realizaciji Proračuna.</w:t>
            </w:r>
          </w:p>
        </w:tc>
        <w:tc>
          <w:tcPr>
            <w:tcW w:w="1680" w:type="dxa"/>
          </w:tcPr>
          <w:p w:rsidR="008A0D3F" w:rsidRPr="00395C1D" w:rsidRDefault="002A31C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Kvartalno</w:t>
            </w:r>
          </w:p>
        </w:tc>
      </w:tr>
      <w:tr w:rsidR="008A0D3F" w:rsidRPr="00395C1D" w:rsidTr="009C4103">
        <w:trPr>
          <w:trHeight w:val="686"/>
        </w:trPr>
        <w:tc>
          <w:tcPr>
            <w:tcW w:w="3969" w:type="dxa"/>
          </w:tcPr>
          <w:p w:rsidR="002A31CB" w:rsidRPr="00395C1D" w:rsidRDefault="002A31CB" w:rsidP="002A31CB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Pravovremeno poduzimanje mjera naplate potraživanja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Postupanje prema Proceduri za naplatu općinskih prihoda</w:t>
            </w:r>
          </w:p>
        </w:tc>
        <w:tc>
          <w:tcPr>
            <w:tcW w:w="1680" w:type="dxa"/>
          </w:tcPr>
          <w:p w:rsidR="008A0D3F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8A0D3F">
        <w:tc>
          <w:tcPr>
            <w:tcW w:w="3969" w:type="dxa"/>
          </w:tcPr>
          <w:p w:rsidR="009C4103" w:rsidRPr="00395C1D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lastRenderedPageBreak/>
              <w:t>Povećanje financiranja proračunskih projekata i aktivnosti iz tekućih i kapitalnih pomoći prijavom projekata na natječaje europskih i drugih fondova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 xml:space="preserve">Mjera uključuje oslobađanje sredstava iz izvora Opći prihodi i primici (porezni prihodi) i financiranje što više aktivnosti i projekata iz drugih izvora (nacionalni i međunarodni natječaji) </w:t>
            </w:r>
          </w:p>
        </w:tc>
        <w:tc>
          <w:tcPr>
            <w:tcW w:w="1680" w:type="dxa"/>
          </w:tcPr>
          <w:p w:rsidR="008A0D3F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Kontinuirano</w:t>
            </w:r>
          </w:p>
        </w:tc>
      </w:tr>
      <w:tr w:rsidR="008A0D3F" w:rsidRPr="00395C1D" w:rsidTr="009C4103">
        <w:trPr>
          <w:trHeight w:val="1268"/>
        </w:trPr>
        <w:tc>
          <w:tcPr>
            <w:tcW w:w="3969" w:type="dxa"/>
          </w:tcPr>
          <w:p w:rsidR="009C4103" w:rsidRPr="00395C1D" w:rsidRDefault="009C4103" w:rsidP="009C4103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Uvođenje sustava za evidentiranje i upravljanje nekretninama  u vlasništvu općine</w:t>
            </w:r>
          </w:p>
          <w:p w:rsidR="008A0D3F" w:rsidRPr="00395C1D" w:rsidRDefault="008A0D3F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05" w:type="dxa"/>
          </w:tcPr>
          <w:p w:rsidR="008A0D3F" w:rsidRPr="00395C1D" w:rsidRDefault="009C4103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Izrada registra nekretnina u vlasništvu Općine i učinkovito raspolaganje nekretninama (zakup, najam , prodaja)</w:t>
            </w:r>
          </w:p>
        </w:tc>
        <w:tc>
          <w:tcPr>
            <w:tcW w:w="1680" w:type="dxa"/>
          </w:tcPr>
          <w:p w:rsidR="009C4103" w:rsidRPr="00395C1D" w:rsidRDefault="009C4103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Tijekom 2018. godine</w:t>
            </w:r>
          </w:p>
        </w:tc>
      </w:tr>
      <w:tr w:rsidR="009C4103" w:rsidRPr="00395C1D" w:rsidTr="008A0D3F">
        <w:tc>
          <w:tcPr>
            <w:tcW w:w="3969" w:type="dxa"/>
          </w:tcPr>
          <w:p w:rsidR="009C4103" w:rsidRPr="00395C1D" w:rsidRDefault="009C4103" w:rsidP="00395C1D">
            <w:pPr>
              <w:pStyle w:val="Bezproreda"/>
              <w:numPr>
                <w:ilvl w:val="0"/>
                <w:numId w:val="8"/>
              </w:num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395C1D">
              <w:rPr>
                <w:rFonts w:cstheme="minorHAnsi"/>
                <w:sz w:val="20"/>
                <w:szCs w:val="20"/>
              </w:rPr>
              <w:t>Smanjenje materijalnih rashoda uz zadržavanje kvalitete rada i pružanja usluga građanima</w:t>
            </w:r>
          </w:p>
        </w:tc>
        <w:tc>
          <w:tcPr>
            <w:tcW w:w="3105" w:type="dxa"/>
          </w:tcPr>
          <w:p w:rsidR="009C4103" w:rsidRPr="00395C1D" w:rsidRDefault="0025255B" w:rsidP="00B0207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Maksimalna racionalizacija materijalnih rashoda</w:t>
            </w:r>
          </w:p>
        </w:tc>
        <w:tc>
          <w:tcPr>
            <w:tcW w:w="1680" w:type="dxa"/>
          </w:tcPr>
          <w:p w:rsidR="009C4103" w:rsidRPr="00395C1D" w:rsidRDefault="0025255B" w:rsidP="009C4103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Kontinuirano</w:t>
            </w:r>
          </w:p>
        </w:tc>
      </w:tr>
    </w:tbl>
    <w:p w:rsidR="008A0D3F" w:rsidRDefault="008A0D3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9C4103" w:rsidRDefault="009C4103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9C4103" w:rsidRPr="00904200" w:rsidRDefault="009C4103" w:rsidP="00B0207D">
      <w:pPr>
        <w:pStyle w:val="Bezproreda"/>
        <w:spacing w:line="276" w:lineRule="auto"/>
        <w:ind w:left="4248"/>
        <w:jc w:val="center"/>
        <w:rPr>
          <w:rFonts w:cstheme="minorHAnsi"/>
          <w:sz w:val="20"/>
          <w:szCs w:val="20"/>
        </w:rPr>
      </w:pPr>
    </w:p>
    <w:p w:rsidR="009C4103" w:rsidRPr="00904200" w:rsidRDefault="00395C1D" w:rsidP="009C08AB">
      <w:pPr>
        <w:pStyle w:val="Bezproreda"/>
        <w:spacing w:line="276" w:lineRule="auto"/>
        <w:ind w:firstLine="708"/>
        <w:jc w:val="both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Odgovorna osoba za provedbu akcijskog plana</w:t>
      </w:r>
      <w:r w:rsidR="009C08AB" w:rsidRPr="00904200">
        <w:rPr>
          <w:rFonts w:cstheme="minorHAnsi"/>
          <w:sz w:val="20"/>
          <w:szCs w:val="20"/>
        </w:rPr>
        <w:t xml:space="preserve"> je načelnik.</w:t>
      </w:r>
      <w:r w:rsidRPr="00904200">
        <w:rPr>
          <w:rFonts w:cstheme="minorHAnsi"/>
          <w:sz w:val="20"/>
          <w:szCs w:val="20"/>
        </w:rPr>
        <w:t xml:space="preserve"> Planirani financijski učinak predloženih mjera je suficit od 750.000,00</w:t>
      </w:r>
      <w:r w:rsidR="00BA1659" w:rsidRPr="00904200">
        <w:rPr>
          <w:rFonts w:cstheme="minorHAnsi"/>
          <w:sz w:val="20"/>
          <w:szCs w:val="20"/>
        </w:rPr>
        <w:t xml:space="preserve"> </w:t>
      </w:r>
      <w:r w:rsidRPr="00904200">
        <w:rPr>
          <w:rFonts w:cstheme="minorHAnsi"/>
          <w:sz w:val="20"/>
          <w:szCs w:val="20"/>
        </w:rPr>
        <w:t>kn, odnosno pokriće planiranog manjka prihoda i primitaka u razdoblju 2018. – 2020. godine.</w:t>
      </w:r>
    </w:p>
    <w:p w:rsidR="00D9062D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D9062D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D9062D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:rsidR="00D9062D" w:rsidRPr="00904200" w:rsidRDefault="00D9062D" w:rsidP="00B0207D">
      <w:pPr>
        <w:pStyle w:val="Bezproreda"/>
        <w:spacing w:line="276" w:lineRule="auto"/>
        <w:ind w:left="4248"/>
        <w:jc w:val="center"/>
        <w:rPr>
          <w:rFonts w:cstheme="minorHAnsi"/>
          <w:sz w:val="20"/>
          <w:szCs w:val="20"/>
        </w:rPr>
      </w:pPr>
    </w:p>
    <w:p w:rsidR="00D9062D" w:rsidRPr="00904200" w:rsidRDefault="00D9062D" w:rsidP="00BA1659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B0207D" w:rsidRPr="00904200" w:rsidRDefault="00CB224F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r w:rsidRPr="00904200">
        <w:rPr>
          <w:rFonts w:cstheme="minorHAnsi"/>
          <w:sz w:val="20"/>
          <w:szCs w:val="20"/>
        </w:rPr>
        <w:t>Općinski načelnik</w:t>
      </w:r>
    </w:p>
    <w:p w:rsidR="00B0207D" w:rsidRPr="00904200" w:rsidRDefault="00CB224F" w:rsidP="00904200">
      <w:pPr>
        <w:pStyle w:val="Bezproreda"/>
        <w:spacing w:line="276" w:lineRule="auto"/>
        <w:ind w:left="5664" w:firstLine="708"/>
        <w:jc w:val="center"/>
        <w:rPr>
          <w:rFonts w:cstheme="minorHAnsi"/>
          <w:sz w:val="20"/>
          <w:szCs w:val="20"/>
        </w:rPr>
      </w:pPr>
      <w:bookmarkStart w:id="0" w:name="_GoBack"/>
      <w:bookmarkEnd w:id="0"/>
      <w:r w:rsidRPr="00904200">
        <w:rPr>
          <w:rFonts w:cstheme="minorHAnsi"/>
          <w:sz w:val="20"/>
          <w:szCs w:val="20"/>
        </w:rPr>
        <w:t>Josip Beljak, dipl. ing. agr.</w:t>
      </w:r>
    </w:p>
    <w:p w:rsidR="001427FC" w:rsidRPr="00904200" w:rsidRDefault="001427FC" w:rsidP="001427FC">
      <w:pPr>
        <w:pStyle w:val="Bezproreda"/>
        <w:spacing w:line="276" w:lineRule="auto"/>
        <w:rPr>
          <w:rFonts w:cstheme="minorHAnsi"/>
          <w:sz w:val="20"/>
          <w:szCs w:val="20"/>
        </w:rPr>
      </w:pPr>
    </w:p>
    <w:p w:rsidR="001427FC" w:rsidRPr="00904200" w:rsidRDefault="001427FC" w:rsidP="001427FC">
      <w:pPr>
        <w:pStyle w:val="Bezproreda"/>
        <w:spacing w:line="276" w:lineRule="auto"/>
        <w:ind w:left="708"/>
        <w:rPr>
          <w:rFonts w:cstheme="minorHAnsi"/>
          <w:sz w:val="20"/>
          <w:szCs w:val="20"/>
        </w:rPr>
      </w:pPr>
    </w:p>
    <w:p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2D6C" w:rsidRPr="00904200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92D6C" w:rsidRPr="009042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925CD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4770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70C37"/>
    <w:multiLevelType w:val="hybridMultilevel"/>
    <w:tmpl w:val="B0D8EF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83236"/>
    <w:multiLevelType w:val="hybridMultilevel"/>
    <w:tmpl w:val="DAC43A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F5615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E48E6"/>
    <w:multiLevelType w:val="hybridMultilevel"/>
    <w:tmpl w:val="015A3CB8"/>
    <w:lvl w:ilvl="0" w:tplc="14706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131B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14F61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B4513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D25468C"/>
    <w:multiLevelType w:val="hybridMultilevel"/>
    <w:tmpl w:val="E3D2B5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</w:num>
  <w:num w:numId="5">
    <w:abstractNumId w:val="3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"/>
  </w:num>
  <w:num w:numId="11">
    <w:abstractNumId w:val="8"/>
  </w:num>
  <w:num w:numId="12">
    <w:abstractNumId w:val="13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74E14"/>
    <w:rsid w:val="000A2BB9"/>
    <w:rsid w:val="000C6DE6"/>
    <w:rsid w:val="000D06B4"/>
    <w:rsid w:val="000E0BB8"/>
    <w:rsid w:val="000F0E0B"/>
    <w:rsid w:val="00102023"/>
    <w:rsid w:val="00106941"/>
    <w:rsid w:val="001340DB"/>
    <w:rsid w:val="001427FC"/>
    <w:rsid w:val="00162727"/>
    <w:rsid w:val="00165F3F"/>
    <w:rsid w:val="001A347D"/>
    <w:rsid w:val="001C51A0"/>
    <w:rsid w:val="001E3F71"/>
    <w:rsid w:val="001F3D69"/>
    <w:rsid w:val="0020412E"/>
    <w:rsid w:val="0025255B"/>
    <w:rsid w:val="002A31CB"/>
    <w:rsid w:val="002B61DC"/>
    <w:rsid w:val="002C7C22"/>
    <w:rsid w:val="00395C1D"/>
    <w:rsid w:val="00396E6A"/>
    <w:rsid w:val="003C7D51"/>
    <w:rsid w:val="003D3222"/>
    <w:rsid w:val="00403302"/>
    <w:rsid w:val="00430944"/>
    <w:rsid w:val="00435856"/>
    <w:rsid w:val="0044076A"/>
    <w:rsid w:val="00493BA5"/>
    <w:rsid w:val="004B511F"/>
    <w:rsid w:val="004B5F5A"/>
    <w:rsid w:val="004B66EA"/>
    <w:rsid w:val="00502540"/>
    <w:rsid w:val="00520400"/>
    <w:rsid w:val="0052557C"/>
    <w:rsid w:val="00551E3C"/>
    <w:rsid w:val="005937E7"/>
    <w:rsid w:val="006A4432"/>
    <w:rsid w:val="006A5FDD"/>
    <w:rsid w:val="006B7A29"/>
    <w:rsid w:val="006E36F4"/>
    <w:rsid w:val="00740A52"/>
    <w:rsid w:val="00775B87"/>
    <w:rsid w:val="007C0A03"/>
    <w:rsid w:val="007C2C92"/>
    <w:rsid w:val="00813BFE"/>
    <w:rsid w:val="008263CE"/>
    <w:rsid w:val="008A0D3F"/>
    <w:rsid w:val="00904200"/>
    <w:rsid w:val="009642B7"/>
    <w:rsid w:val="00977CC5"/>
    <w:rsid w:val="00992D6C"/>
    <w:rsid w:val="009958AA"/>
    <w:rsid w:val="009C08AB"/>
    <w:rsid w:val="009C4103"/>
    <w:rsid w:val="009E3121"/>
    <w:rsid w:val="00AB0597"/>
    <w:rsid w:val="00B0207D"/>
    <w:rsid w:val="00B1374B"/>
    <w:rsid w:val="00B21D23"/>
    <w:rsid w:val="00B25789"/>
    <w:rsid w:val="00B661B6"/>
    <w:rsid w:val="00B7136B"/>
    <w:rsid w:val="00BA1659"/>
    <w:rsid w:val="00BB6E6B"/>
    <w:rsid w:val="00BE621A"/>
    <w:rsid w:val="00C06CA5"/>
    <w:rsid w:val="00C34834"/>
    <w:rsid w:val="00C7092F"/>
    <w:rsid w:val="00C77616"/>
    <w:rsid w:val="00CA1472"/>
    <w:rsid w:val="00CB224F"/>
    <w:rsid w:val="00CF1AFE"/>
    <w:rsid w:val="00D164BF"/>
    <w:rsid w:val="00D9062D"/>
    <w:rsid w:val="00E72690"/>
    <w:rsid w:val="00E76EB7"/>
    <w:rsid w:val="00EA792A"/>
    <w:rsid w:val="00FA047A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3EBA"/>
  <w15:docId w15:val="{00BC030A-3ED7-4A1E-B81B-C17F37B7D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  <w:style w:type="paragraph" w:styleId="Tijeloteksta">
    <w:name w:val="Body Text"/>
    <w:basedOn w:val="Normal"/>
    <w:link w:val="TijelotekstaChar"/>
    <w:rsid w:val="00775B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75B8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1420</Words>
  <Characters>8097</Characters>
  <Application>Microsoft Office Word</Application>
  <DocSecurity>0</DocSecurity>
  <Lines>67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6</cp:revision>
  <cp:lastPrinted>2017-11-15T08:27:00Z</cp:lastPrinted>
  <dcterms:created xsi:type="dcterms:W3CDTF">2017-11-15T07:52:00Z</dcterms:created>
  <dcterms:modified xsi:type="dcterms:W3CDTF">2017-11-15T08:27:00Z</dcterms:modified>
</cp:coreProperties>
</file>