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14:paraId="2BF16591" w14:textId="77777777" w:rsidTr="009642B7">
        <w:tc>
          <w:tcPr>
            <w:tcW w:w="0" w:type="auto"/>
          </w:tcPr>
          <w:p w14:paraId="443FC695" w14:textId="77777777"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D06CC4E" wp14:editId="28D88B0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2124D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14:paraId="1374FB74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14:paraId="09DF3EB3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14:paraId="54751D49" w14:textId="77777777" w:rsidR="009642B7" w:rsidRPr="009B693B" w:rsidRDefault="00430944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NAČELNIK</w:t>
            </w:r>
          </w:p>
        </w:tc>
      </w:tr>
    </w:tbl>
    <w:p w14:paraId="66D242AA" w14:textId="77777777"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14:paraId="2B546F8A" w14:textId="665BB182"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KLASA:</w:t>
      </w:r>
      <w:r w:rsidR="00502540" w:rsidRPr="009B693B">
        <w:rPr>
          <w:rFonts w:cstheme="minorHAnsi"/>
          <w:sz w:val="20"/>
          <w:szCs w:val="20"/>
        </w:rPr>
        <w:t>400-08/1</w:t>
      </w:r>
      <w:r w:rsidR="000D7C25">
        <w:rPr>
          <w:rFonts w:cstheme="minorHAnsi"/>
          <w:sz w:val="20"/>
          <w:szCs w:val="20"/>
        </w:rPr>
        <w:t>9</w:t>
      </w:r>
      <w:r w:rsidR="00502540" w:rsidRPr="009B693B">
        <w:rPr>
          <w:rFonts w:cstheme="minorHAnsi"/>
          <w:sz w:val="20"/>
          <w:szCs w:val="20"/>
        </w:rPr>
        <w:t>-01/</w:t>
      </w:r>
      <w:r w:rsidR="000D7C25">
        <w:rPr>
          <w:rFonts w:cstheme="minorHAnsi"/>
          <w:sz w:val="20"/>
          <w:szCs w:val="20"/>
        </w:rPr>
        <w:t>15</w:t>
      </w:r>
    </w:p>
    <w:p w14:paraId="6147DDAB" w14:textId="03DB11E2"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URBROJ:2113/03-0</w:t>
      </w:r>
      <w:r w:rsidR="00430944" w:rsidRPr="009B693B">
        <w:rPr>
          <w:rFonts w:cstheme="minorHAnsi"/>
          <w:sz w:val="20"/>
          <w:szCs w:val="20"/>
        </w:rPr>
        <w:t>3</w:t>
      </w:r>
      <w:r w:rsidRPr="009B693B">
        <w:rPr>
          <w:rFonts w:cstheme="minorHAnsi"/>
          <w:sz w:val="20"/>
          <w:szCs w:val="20"/>
        </w:rPr>
        <w:t>-</w:t>
      </w:r>
      <w:r w:rsidR="000D7C25">
        <w:rPr>
          <w:rFonts w:cstheme="minorHAnsi"/>
          <w:sz w:val="20"/>
          <w:szCs w:val="20"/>
        </w:rPr>
        <w:t>19-5</w:t>
      </w:r>
    </w:p>
    <w:p w14:paraId="1D0FCF7A" w14:textId="3D7EFB21"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Toplice,</w:t>
      </w:r>
      <w:r w:rsidR="00430944" w:rsidRPr="009B693B">
        <w:rPr>
          <w:rFonts w:cstheme="minorHAnsi"/>
          <w:sz w:val="20"/>
          <w:szCs w:val="20"/>
        </w:rPr>
        <w:t xml:space="preserve"> </w:t>
      </w:r>
      <w:r w:rsidR="000D7C25">
        <w:rPr>
          <w:rFonts w:cstheme="minorHAnsi"/>
          <w:sz w:val="20"/>
          <w:szCs w:val="20"/>
        </w:rPr>
        <w:t>07</w:t>
      </w:r>
      <w:r w:rsidR="00CB224F" w:rsidRPr="009B693B">
        <w:rPr>
          <w:rFonts w:cstheme="minorHAnsi"/>
          <w:sz w:val="20"/>
          <w:szCs w:val="20"/>
        </w:rPr>
        <w:t>.11</w:t>
      </w:r>
      <w:r w:rsidR="00B0207D" w:rsidRPr="009B693B">
        <w:rPr>
          <w:rFonts w:cstheme="minorHAnsi"/>
          <w:sz w:val="20"/>
          <w:szCs w:val="20"/>
        </w:rPr>
        <w:t>.201</w:t>
      </w:r>
      <w:r w:rsidR="000D7C25">
        <w:rPr>
          <w:rFonts w:cstheme="minorHAnsi"/>
          <w:sz w:val="20"/>
          <w:szCs w:val="20"/>
        </w:rPr>
        <w:t>9</w:t>
      </w:r>
      <w:r w:rsidR="00B0207D" w:rsidRPr="009B693B">
        <w:rPr>
          <w:rFonts w:cstheme="minorHAnsi"/>
          <w:sz w:val="20"/>
          <w:szCs w:val="20"/>
        </w:rPr>
        <w:t>.</w:t>
      </w:r>
    </w:p>
    <w:p w14:paraId="02973372" w14:textId="77777777"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7D9D51C2" w14:textId="77777777" w:rsidR="00992D6C" w:rsidRPr="000D7C25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14:paraId="17568C46" w14:textId="77777777" w:rsidR="00D9062D" w:rsidRPr="000D7C25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E500928" w14:textId="77777777" w:rsidR="00D9062D" w:rsidRPr="000D7C25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 skladu s Uputama </w:t>
      </w:r>
      <w:r w:rsidR="004B5F5A" w:rsidRPr="000D7C25">
        <w:rPr>
          <w:rFonts w:cstheme="minorHAnsi"/>
          <w:sz w:val="20"/>
          <w:szCs w:val="20"/>
        </w:rPr>
        <w:t>za izradu proračuna Jedinica lokalne i područne (regional</w:t>
      </w:r>
      <w:r w:rsidR="002D1395" w:rsidRPr="000D7C25">
        <w:rPr>
          <w:rFonts w:cstheme="minorHAnsi"/>
          <w:sz w:val="20"/>
          <w:szCs w:val="20"/>
        </w:rPr>
        <w:t>ne) samouprave za razdoblje 20</w:t>
      </w:r>
      <w:r w:rsidR="00724929" w:rsidRPr="000D7C25">
        <w:rPr>
          <w:rFonts w:cstheme="minorHAnsi"/>
          <w:sz w:val="20"/>
          <w:szCs w:val="20"/>
        </w:rPr>
        <w:t>20</w:t>
      </w:r>
      <w:r w:rsidR="002D1395" w:rsidRPr="000D7C25">
        <w:rPr>
          <w:rFonts w:cstheme="minorHAnsi"/>
          <w:sz w:val="20"/>
          <w:szCs w:val="20"/>
        </w:rPr>
        <w:t>. – 20</w:t>
      </w:r>
      <w:r w:rsidR="00724929" w:rsidRPr="000D7C25">
        <w:rPr>
          <w:rFonts w:cstheme="minorHAnsi"/>
          <w:sz w:val="20"/>
          <w:szCs w:val="20"/>
        </w:rPr>
        <w:t>22</w:t>
      </w:r>
      <w:r w:rsidR="004B5F5A" w:rsidRPr="000D7C25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0D7C25">
        <w:rPr>
          <w:rFonts w:cstheme="minorHAnsi"/>
          <w:sz w:val="20"/>
          <w:szCs w:val="20"/>
        </w:rPr>
        <w:t>tnije procjene manjka za 201</w:t>
      </w:r>
      <w:r w:rsidR="00724929" w:rsidRPr="000D7C25">
        <w:rPr>
          <w:rFonts w:cstheme="minorHAnsi"/>
          <w:sz w:val="20"/>
          <w:szCs w:val="20"/>
        </w:rPr>
        <w:t>9</w:t>
      </w:r>
      <w:r w:rsidR="007C2C92" w:rsidRPr="000D7C25">
        <w:rPr>
          <w:rFonts w:cstheme="minorHAnsi"/>
          <w:sz w:val="20"/>
          <w:szCs w:val="20"/>
        </w:rPr>
        <w:t>. g</w:t>
      </w:r>
      <w:r w:rsidR="004B5F5A" w:rsidRPr="000D7C25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0D7C25">
        <w:rPr>
          <w:rFonts w:cstheme="minorHAnsi"/>
          <w:sz w:val="20"/>
          <w:szCs w:val="20"/>
        </w:rPr>
        <w:t>a</w:t>
      </w:r>
      <w:r w:rsidR="004B5F5A" w:rsidRPr="000D7C25">
        <w:rPr>
          <w:rFonts w:cstheme="minorHAnsi"/>
          <w:sz w:val="20"/>
          <w:szCs w:val="20"/>
        </w:rPr>
        <w:t xml:space="preserve"> Općine Stubičke Toplice.</w:t>
      </w:r>
    </w:p>
    <w:p w14:paraId="0F7C386C" w14:textId="77777777" w:rsidR="004B5F5A" w:rsidRPr="000D7C25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Općina Stubičke Toplice ima ustrojen Jedins</w:t>
      </w:r>
      <w:r w:rsidR="002D1395" w:rsidRPr="000D7C25">
        <w:rPr>
          <w:rFonts w:cstheme="minorHAnsi"/>
          <w:sz w:val="20"/>
          <w:szCs w:val="20"/>
        </w:rPr>
        <w:t>tveni upravni odjel i ima dva</w:t>
      </w:r>
      <w:r w:rsidRPr="000D7C25">
        <w:rPr>
          <w:rFonts w:cstheme="minorHAnsi"/>
          <w:sz w:val="20"/>
          <w:szCs w:val="20"/>
        </w:rPr>
        <w:t xml:space="preserve"> proračunsk</w:t>
      </w:r>
      <w:r w:rsidR="009B693B" w:rsidRPr="000D7C25">
        <w:rPr>
          <w:rFonts w:cstheme="minorHAnsi"/>
          <w:sz w:val="20"/>
          <w:szCs w:val="20"/>
        </w:rPr>
        <w:t>a</w:t>
      </w:r>
      <w:r w:rsidRPr="000D7C25">
        <w:rPr>
          <w:rFonts w:cstheme="minorHAnsi"/>
          <w:sz w:val="20"/>
          <w:szCs w:val="20"/>
        </w:rPr>
        <w:t>k</w:t>
      </w:r>
      <w:r w:rsidR="002D1395" w:rsidRPr="000D7C25">
        <w:rPr>
          <w:rFonts w:cstheme="minorHAnsi"/>
          <w:sz w:val="20"/>
          <w:szCs w:val="20"/>
        </w:rPr>
        <w:t>orisnika, Dječji vrtić „Zvirek“ i Općinsku knjižnicu Stubičke Toplice.</w:t>
      </w:r>
    </w:p>
    <w:p w14:paraId="2B8D4880" w14:textId="77777777" w:rsidR="007C0A03" w:rsidRPr="000D7C25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62311FE" w14:textId="77777777" w:rsidR="004B5F5A" w:rsidRPr="000D7C25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Analiza financijskog poslovanja Općine Stub</w:t>
      </w:r>
      <w:r w:rsidR="007C0A03" w:rsidRPr="000D7C25">
        <w:rPr>
          <w:rFonts w:cstheme="minorHAnsi"/>
          <w:b/>
          <w:sz w:val="20"/>
          <w:szCs w:val="20"/>
        </w:rPr>
        <w:t xml:space="preserve">ičke Toplice </w:t>
      </w:r>
    </w:p>
    <w:p w14:paraId="6A761FA7" w14:textId="77777777" w:rsidR="00D9062D" w:rsidRPr="000D7C25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14:paraId="50A93677" w14:textId="77777777" w:rsidR="00BA1659" w:rsidRPr="000D7C25" w:rsidRDefault="00D9062D" w:rsidP="005937E7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D7C25">
        <w:rPr>
          <w:rFonts w:cstheme="minorHAnsi"/>
          <w:b/>
          <w:bCs/>
          <w:sz w:val="20"/>
          <w:szCs w:val="20"/>
        </w:rPr>
        <w:t>IZV</w:t>
      </w:r>
      <w:r w:rsidR="004B5F5A" w:rsidRPr="000D7C25">
        <w:rPr>
          <w:rFonts w:cstheme="minorHAnsi"/>
          <w:b/>
          <w:bCs/>
          <w:sz w:val="20"/>
          <w:szCs w:val="20"/>
        </w:rPr>
        <w:t>JEŠTAJ O PRIHODIMA I PRIMICIMA</w:t>
      </w:r>
    </w:p>
    <w:p w14:paraId="069B432F" w14:textId="77777777" w:rsidR="005937E7" w:rsidRPr="000D7C25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265"/>
        <w:gridCol w:w="1394"/>
        <w:gridCol w:w="1394"/>
        <w:gridCol w:w="1298"/>
      </w:tblGrid>
      <w:tr w:rsidR="000D7C25" w:rsidRPr="000D7C25" w14:paraId="6B45FA8F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0D6D0E49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2BC9C071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5E8722F" w14:textId="77777777" w:rsidR="002D1395" w:rsidRPr="000D7C25" w:rsidRDefault="002D139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1716BAF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273D0718" w14:textId="77777777" w:rsidR="002D1395" w:rsidRPr="000D7C25" w:rsidRDefault="002D139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768E5DDC" w14:textId="77777777" w:rsidTr="002D1395">
        <w:tc>
          <w:tcPr>
            <w:tcW w:w="3937" w:type="dxa"/>
          </w:tcPr>
          <w:p w14:paraId="76AA2DCB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14:paraId="79ABA9AC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5.367.754,69</w:t>
            </w:r>
          </w:p>
        </w:tc>
        <w:tc>
          <w:tcPr>
            <w:tcW w:w="1394" w:type="dxa"/>
          </w:tcPr>
          <w:p w14:paraId="49991F19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5.877.082,44</w:t>
            </w:r>
          </w:p>
        </w:tc>
        <w:tc>
          <w:tcPr>
            <w:tcW w:w="1394" w:type="dxa"/>
          </w:tcPr>
          <w:p w14:paraId="124AE66A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4.322.465,86</w:t>
            </w:r>
          </w:p>
        </w:tc>
        <w:tc>
          <w:tcPr>
            <w:tcW w:w="1298" w:type="dxa"/>
          </w:tcPr>
          <w:p w14:paraId="5E762C4D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5.151.178,47</w:t>
            </w:r>
          </w:p>
        </w:tc>
      </w:tr>
      <w:tr w:rsidR="000D7C25" w:rsidRPr="000D7C25" w14:paraId="7487DF8A" w14:textId="77777777" w:rsidTr="002D1395">
        <w:tc>
          <w:tcPr>
            <w:tcW w:w="3937" w:type="dxa"/>
          </w:tcPr>
          <w:p w14:paraId="4EB3C399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14:paraId="61639607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1.441.033,00</w:t>
            </w:r>
          </w:p>
        </w:tc>
        <w:tc>
          <w:tcPr>
            <w:tcW w:w="1394" w:type="dxa"/>
          </w:tcPr>
          <w:p w14:paraId="447F7564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2.514.687,56</w:t>
            </w:r>
          </w:p>
        </w:tc>
        <w:tc>
          <w:tcPr>
            <w:tcW w:w="1394" w:type="dxa"/>
          </w:tcPr>
          <w:p w14:paraId="68C757EA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1.547.334,38</w:t>
            </w:r>
          </w:p>
        </w:tc>
        <w:tc>
          <w:tcPr>
            <w:tcW w:w="1298" w:type="dxa"/>
          </w:tcPr>
          <w:p w14:paraId="42849D00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3.407.229,32</w:t>
            </w:r>
          </w:p>
        </w:tc>
      </w:tr>
      <w:tr w:rsidR="000D7C25" w:rsidRPr="000D7C25" w14:paraId="08CA8730" w14:textId="77777777" w:rsidTr="002D1395">
        <w:tc>
          <w:tcPr>
            <w:tcW w:w="3937" w:type="dxa"/>
          </w:tcPr>
          <w:p w14:paraId="1B97A978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14:paraId="244D2FA5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216.698,48</w:t>
            </w:r>
          </w:p>
        </w:tc>
        <w:tc>
          <w:tcPr>
            <w:tcW w:w="1394" w:type="dxa"/>
          </w:tcPr>
          <w:p w14:paraId="4029989F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207.903,84</w:t>
            </w:r>
          </w:p>
        </w:tc>
        <w:tc>
          <w:tcPr>
            <w:tcW w:w="1394" w:type="dxa"/>
          </w:tcPr>
          <w:p w14:paraId="16D0D0C6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152.764,14</w:t>
            </w:r>
          </w:p>
        </w:tc>
        <w:tc>
          <w:tcPr>
            <w:tcW w:w="1298" w:type="dxa"/>
          </w:tcPr>
          <w:p w14:paraId="63E5FA91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147.125,43</w:t>
            </w:r>
          </w:p>
        </w:tc>
      </w:tr>
      <w:tr w:rsidR="000D7C25" w:rsidRPr="000D7C25" w14:paraId="0CD06E6E" w14:textId="77777777" w:rsidTr="002D1395">
        <w:tc>
          <w:tcPr>
            <w:tcW w:w="3937" w:type="dxa"/>
          </w:tcPr>
          <w:p w14:paraId="5CB0EF3D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14:paraId="0AD6D6D9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875.092,64</w:t>
            </w:r>
          </w:p>
        </w:tc>
        <w:tc>
          <w:tcPr>
            <w:tcW w:w="1394" w:type="dxa"/>
          </w:tcPr>
          <w:p w14:paraId="6EFCF495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839.782,52</w:t>
            </w:r>
          </w:p>
        </w:tc>
        <w:tc>
          <w:tcPr>
            <w:tcW w:w="1394" w:type="dxa"/>
          </w:tcPr>
          <w:p w14:paraId="793FE958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556.954,37</w:t>
            </w:r>
          </w:p>
        </w:tc>
        <w:tc>
          <w:tcPr>
            <w:tcW w:w="1298" w:type="dxa"/>
          </w:tcPr>
          <w:p w14:paraId="23E7C07E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582.344,38</w:t>
            </w:r>
          </w:p>
        </w:tc>
      </w:tr>
      <w:tr w:rsidR="000D7C25" w:rsidRPr="000D7C25" w14:paraId="06EE6F45" w14:textId="77777777" w:rsidTr="002D1395">
        <w:tc>
          <w:tcPr>
            <w:tcW w:w="3937" w:type="dxa"/>
          </w:tcPr>
          <w:p w14:paraId="33291E78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14:paraId="4B82B763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241.584,33</w:t>
            </w:r>
          </w:p>
        </w:tc>
        <w:tc>
          <w:tcPr>
            <w:tcW w:w="1394" w:type="dxa"/>
          </w:tcPr>
          <w:p w14:paraId="70C229FA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229.193,73</w:t>
            </w:r>
          </w:p>
        </w:tc>
        <w:tc>
          <w:tcPr>
            <w:tcW w:w="1394" w:type="dxa"/>
          </w:tcPr>
          <w:p w14:paraId="63D153EE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180.634,19</w:t>
            </w:r>
          </w:p>
        </w:tc>
        <w:tc>
          <w:tcPr>
            <w:tcW w:w="1298" w:type="dxa"/>
          </w:tcPr>
          <w:p w14:paraId="708DB1E4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181.042,94</w:t>
            </w:r>
          </w:p>
        </w:tc>
      </w:tr>
      <w:tr w:rsidR="000D7C25" w:rsidRPr="000D7C25" w14:paraId="271BF4D8" w14:textId="77777777" w:rsidTr="002D1395">
        <w:tc>
          <w:tcPr>
            <w:tcW w:w="3937" w:type="dxa"/>
          </w:tcPr>
          <w:p w14:paraId="042F4BDD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14:paraId="257E0DB1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26.194,15</w:t>
            </w:r>
          </w:p>
        </w:tc>
        <w:tc>
          <w:tcPr>
            <w:tcW w:w="1394" w:type="dxa"/>
          </w:tcPr>
          <w:p w14:paraId="6FDFFFD0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21.773,88</w:t>
            </w:r>
          </w:p>
        </w:tc>
        <w:tc>
          <w:tcPr>
            <w:tcW w:w="1394" w:type="dxa"/>
          </w:tcPr>
          <w:p w14:paraId="7F65B775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18.344,12</w:t>
            </w:r>
          </w:p>
        </w:tc>
        <w:tc>
          <w:tcPr>
            <w:tcW w:w="1298" w:type="dxa"/>
          </w:tcPr>
          <w:p w14:paraId="7C3C0F18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6.019,34</w:t>
            </w:r>
          </w:p>
        </w:tc>
      </w:tr>
      <w:tr w:rsidR="000D7C25" w:rsidRPr="000D7C25" w14:paraId="42E3A61B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768CD64F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4069EB8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8.168.357,29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5D03C2CC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9.690.423,97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454F0A9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6.778.497,06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79A17A74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9.474.939,88</w:t>
            </w:r>
          </w:p>
        </w:tc>
      </w:tr>
      <w:tr w:rsidR="000D7C25" w:rsidRPr="000D7C25" w14:paraId="774ECA65" w14:textId="77777777" w:rsidTr="002D1395">
        <w:tc>
          <w:tcPr>
            <w:tcW w:w="3937" w:type="dxa"/>
          </w:tcPr>
          <w:p w14:paraId="32683E4A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14:paraId="642A669C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</w:tcPr>
          <w:p w14:paraId="49AF64AF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1.890,00</w:t>
            </w:r>
          </w:p>
        </w:tc>
        <w:tc>
          <w:tcPr>
            <w:tcW w:w="1394" w:type="dxa"/>
          </w:tcPr>
          <w:p w14:paraId="68B66AA2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3.500,00</w:t>
            </w:r>
          </w:p>
        </w:tc>
        <w:tc>
          <w:tcPr>
            <w:tcW w:w="1298" w:type="dxa"/>
          </w:tcPr>
          <w:p w14:paraId="3925B99F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3.394,14</w:t>
            </w:r>
          </w:p>
        </w:tc>
      </w:tr>
      <w:tr w:rsidR="000D7C25" w:rsidRPr="000D7C25" w14:paraId="1818AEC4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24B78964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301E8F2E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F67A6FD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1.890,00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667DF221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3.500,00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08BEBB00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3.394,14</w:t>
            </w:r>
          </w:p>
        </w:tc>
      </w:tr>
      <w:tr w:rsidR="000D7C25" w:rsidRPr="000D7C25" w14:paraId="04EB1FA5" w14:textId="77777777" w:rsidTr="00CC63C0">
        <w:tc>
          <w:tcPr>
            <w:tcW w:w="3937" w:type="dxa"/>
            <w:shd w:val="clear" w:color="auto" w:fill="auto"/>
          </w:tcPr>
          <w:p w14:paraId="05F55EC9" w14:textId="77777777" w:rsidR="00CC63C0" w:rsidRPr="000D7C25" w:rsidRDefault="00CC63C0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65" w:type="dxa"/>
            <w:shd w:val="clear" w:color="auto" w:fill="auto"/>
          </w:tcPr>
          <w:p w14:paraId="314206BC" w14:textId="77777777" w:rsidR="00CC63C0" w:rsidRPr="000D7C25" w:rsidRDefault="00CC63C0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4D09193C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711A02D0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14:paraId="0DEAD49C" w14:textId="77777777" w:rsidR="00CC63C0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</w:tr>
      <w:tr w:rsidR="000D7C25" w:rsidRPr="000D7C25" w14:paraId="1240538E" w14:textId="77777777" w:rsidTr="00CC63C0">
        <w:tc>
          <w:tcPr>
            <w:tcW w:w="3937" w:type="dxa"/>
            <w:shd w:val="clear" w:color="auto" w:fill="DBE5F1" w:themeFill="accent1" w:themeFillTint="33"/>
          </w:tcPr>
          <w:p w14:paraId="4B29AE8B" w14:textId="77777777" w:rsidR="00CC63C0" w:rsidRPr="000D7C25" w:rsidRDefault="00CC63C0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UKUPNO PRIMICI: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919EDC7" w14:textId="77777777" w:rsidR="00CC63C0" w:rsidRPr="000D7C25" w:rsidRDefault="00CC63C0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2C3B89F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98E709E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68835AD4" w14:textId="77777777" w:rsidR="00CC63C0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</w:tr>
      <w:tr w:rsidR="000D7C25" w:rsidRPr="000D7C25" w14:paraId="0A7EE332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48D22E93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UKUPNO PRIHODI</w:t>
            </w:r>
            <w:r w:rsidR="00CC63C0" w:rsidRPr="000D7C25">
              <w:rPr>
                <w:rFonts w:cstheme="minorHAnsi"/>
                <w:b/>
                <w:sz w:val="18"/>
                <w:szCs w:val="18"/>
              </w:rPr>
              <w:t xml:space="preserve"> I PRIMICI: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42519BE3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8.170.826,40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4FD62F2D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9.692.313,97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66DCB7C6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6.781.997,06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3C830C62" w14:textId="77777777" w:rsidR="002D1395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11.411.650,77</w:t>
            </w:r>
          </w:p>
        </w:tc>
      </w:tr>
    </w:tbl>
    <w:p w14:paraId="40DEB59A" w14:textId="77777777" w:rsidR="001427FC" w:rsidRPr="000D7C25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3AE9B6E1" w14:textId="77777777" w:rsidR="00CC63C0" w:rsidRPr="000D7C25" w:rsidRDefault="00CC63C0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331998BA" w14:textId="77777777" w:rsidR="00772549" w:rsidRPr="000D7C25" w:rsidRDefault="00772549" w:rsidP="00883C03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 2018. godini ostvareno je za 18,62% </w:t>
      </w:r>
      <w:r w:rsidR="000A4549" w:rsidRPr="000D7C25">
        <w:rPr>
          <w:rFonts w:cstheme="minorHAnsi"/>
          <w:sz w:val="20"/>
          <w:szCs w:val="20"/>
        </w:rPr>
        <w:t>više</w:t>
      </w:r>
      <w:r w:rsidRPr="000D7C25">
        <w:rPr>
          <w:rFonts w:cstheme="minorHAnsi"/>
          <w:sz w:val="20"/>
          <w:szCs w:val="20"/>
        </w:rPr>
        <w:t xml:space="preserve"> prihoda u odnosu na 201</w:t>
      </w:r>
      <w:r w:rsidR="000A4549" w:rsidRPr="000D7C25">
        <w:rPr>
          <w:rFonts w:cstheme="minorHAnsi"/>
          <w:sz w:val="20"/>
          <w:szCs w:val="20"/>
        </w:rPr>
        <w:t>7</w:t>
      </w:r>
      <w:r w:rsidRPr="000D7C25">
        <w:rPr>
          <w:rFonts w:cstheme="minorHAnsi"/>
          <w:sz w:val="20"/>
          <w:szCs w:val="20"/>
        </w:rPr>
        <w:t xml:space="preserve">. godinu. Najveći dio </w:t>
      </w:r>
      <w:r w:rsidR="000A4549" w:rsidRPr="000D7C25">
        <w:rPr>
          <w:rFonts w:cstheme="minorHAnsi"/>
          <w:sz w:val="20"/>
          <w:szCs w:val="20"/>
        </w:rPr>
        <w:t>povećanja</w:t>
      </w:r>
      <w:r w:rsidRPr="000D7C25">
        <w:rPr>
          <w:rFonts w:cstheme="minorHAnsi"/>
          <w:sz w:val="20"/>
          <w:szCs w:val="20"/>
        </w:rPr>
        <w:t xml:space="preserve"> odnosi se na prihode od </w:t>
      </w:r>
      <w:r w:rsidR="000A4549" w:rsidRPr="000D7C25">
        <w:rPr>
          <w:rFonts w:cstheme="minorHAnsi"/>
          <w:sz w:val="20"/>
          <w:szCs w:val="20"/>
        </w:rPr>
        <w:t>pomoći</w:t>
      </w:r>
      <w:r w:rsidRPr="000D7C25">
        <w:rPr>
          <w:rFonts w:cstheme="minorHAnsi"/>
          <w:sz w:val="20"/>
          <w:szCs w:val="20"/>
        </w:rPr>
        <w:t xml:space="preserve"> za </w:t>
      </w:r>
      <w:r w:rsidR="000A4549" w:rsidRPr="000D7C25">
        <w:rPr>
          <w:rFonts w:cstheme="minorHAnsi"/>
          <w:sz w:val="20"/>
          <w:szCs w:val="20"/>
        </w:rPr>
        <w:t>74,51% i na</w:t>
      </w:r>
      <w:r w:rsidRPr="000D7C25">
        <w:rPr>
          <w:rFonts w:cstheme="minorHAnsi"/>
          <w:sz w:val="20"/>
          <w:szCs w:val="20"/>
        </w:rPr>
        <w:t xml:space="preserve"> prihode od </w:t>
      </w:r>
      <w:r w:rsidR="000A4549" w:rsidRPr="000D7C25">
        <w:rPr>
          <w:rFonts w:cstheme="minorHAnsi"/>
          <w:sz w:val="20"/>
          <w:szCs w:val="20"/>
        </w:rPr>
        <w:t xml:space="preserve">poreza za 9,49%.  </w:t>
      </w:r>
      <w:r w:rsidR="000E4026" w:rsidRPr="000D7C25">
        <w:rPr>
          <w:rFonts w:cstheme="minorHAnsi"/>
          <w:sz w:val="20"/>
          <w:szCs w:val="20"/>
        </w:rPr>
        <w:t xml:space="preserve">Prihodi od poreza na dohodak ostali su na gotovo istoj razini kao i </w:t>
      </w:r>
      <w:r w:rsidR="00883C03" w:rsidRPr="000D7C25">
        <w:rPr>
          <w:rFonts w:cstheme="minorHAnsi"/>
          <w:sz w:val="20"/>
          <w:szCs w:val="20"/>
        </w:rPr>
        <w:t xml:space="preserve">2017. godine. Znatno su porasli prihodi od poreza na promet nekretnina i to </w:t>
      </w:r>
      <w:r w:rsidR="00883C03" w:rsidRPr="000D7C25">
        <w:rPr>
          <w:rFonts w:cstheme="minorHAnsi"/>
          <w:sz w:val="20"/>
          <w:szCs w:val="20"/>
        </w:rPr>
        <w:lastRenderedPageBreak/>
        <w:t xml:space="preserve">za 227,93%, a prihodi od poreza na kuće za odmor porasli su za 10,09%. </w:t>
      </w:r>
      <w:r w:rsidR="000A4549" w:rsidRPr="000D7C25">
        <w:rPr>
          <w:rFonts w:cstheme="minorHAnsi"/>
          <w:sz w:val="20"/>
          <w:szCs w:val="20"/>
        </w:rPr>
        <w:t>Do povećanja prihoda od pomoći došlo je uslijed realizacije projekata za koje su odobrena sredstva od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 Ministarstva regionalog razvoja i fondova EU za kapitalne projekte na brdsko planinskim područjima</w:t>
      </w:r>
      <w:r w:rsidR="000A4549" w:rsidRPr="000D7C25">
        <w:rPr>
          <w:rFonts w:cstheme="minorHAnsi"/>
          <w:sz w:val="20"/>
          <w:szCs w:val="20"/>
        </w:rPr>
        <w:t>,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 </w:t>
      </w:r>
      <w:r w:rsidR="007D33AE" w:rsidRPr="000D7C25">
        <w:rPr>
          <w:rFonts w:ascii="Calibri" w:hAnsi="Calibri" w:cs="Calibri"/>
          <w:bCs/>
          <w:sz w:val="20"/>
          <w:szCs w:val="20"/>
        </w:rPr>
        <w:t xml:space="preserve">od 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Fonda za sufinanciranje provedbe EU projekata na regionalnoj i lokalnoj razini te iz </w:t>
      </w:r>
      <w:r w:rsidR="009F75FD" w:rsidRPr="000D7C25">
        <w:rPr>
          <w:rFonts w:ascii="Calibri" w:hAnsi="Calibri" w:cs="Calibri"/>
          <w:bCs/>
          <w:sz w:val="20"/>
          <w:szCs w:val="20"/>
        </w:rPr>
        <w:t xml:space="preserve">županjskog proračuna. </w:t>
      </w:r>
      <w:r w:rsidR="00AD0EA7" w:rsidRPr="000D7C25">
        <w:rPr>
          <w:rFonts w:ascii="Calibri" w:hAnsi="Calibri" w:cs="Calibri"/>
          <w:bCs/>
          <w:sz w:val="20"/>
          <w:szCs w:val="20"/>
        </w:rPr>
        <w:t xml:space="preserve">Također su ostvareni prihodi od pomoći koje su </w:t>
      </w:r>
      <w:r w:rsidR="00AD0EA7" w:rsidRPr="000D7C25">
        <w:rPr>
          <w:rFonts w:cstheme="minorHAnsi"/>
          <w:sz w:val="20"/>
          <w:szCs w:val="20"/>
        </w:rPr>
        <w:t xml:space="preserve"> </w:t>
      </w:r>
      <w:r w:rsidR="00AD0EA7" w:rsidRPr="000D7C25">
        <w:rPr>
          <w:rFonts w:ascii="Calibri" w:hAnsi="Calibri" w:cs="Arial"/>
          <w:sz w:val="20"/>
          <w:szCs w:val="20"/>
        </w:rPr>
        <w:t>kompenzacijska mjera zbog izmjene u sustavu poreza na dohodak</w:t>
      </w:r>
      <w:r w:rsidR="007D33AE" w:rsidRPr="000D7C25">
        <w:rPr>
          <w:rFonts w:ascii="Calibri" w:hAnsi="Calibri" w:cs="Arial"/>
          <w:sz w:val="20"/>
          <w:szCs w:val="20"/>
        </w:rPr>
        <w:t xml:space="preserve"> od 01.01.2017. godine.</w:t>
      </w:r>
      <w:r w:rsidR="00AD0EA7" w:rsidRPr="000D7C25">
        <w:rPr>
          <w:rFonts w:ascii="Calibri" w:hAnsi="Calibri" w:cs="Arial"/>
          <w:sz w:val="20"/>
          <w:szCs w:val="20"/>
        </w:rPr>
        <w:t xml:space="preserve"> Naime, kako se ne bi dovelo u pitanje financiranje i izvršavanje zakonom propisanih poslova JLP(R)S, odredbama članka 52. Zakona o izvršavanju državnog proračuna, JLP(R)S je tijekom 2018. godine, iz državnog proračuna, isplaćena pomoć u visini razlike između  prihoda od poreza na dohodak koji su jedinice ostvarile u 2017. godini, na mjesečnoj bazi i prihoda od poreza na dohodak koje su jedinice ostvarile tijekom 2018. godine.</w:t>
      </w:r>
      <w:r w:rsidR="00D6162F" w:rsidRPr="000D7C25">
        <w:rPr>
          <w:rFonts w:ascii="Calibri" w:hAnsi="Calibri" w:cs="Arial"/>
          <w:sz w:val="20"/>
          <w:szCs w:val="20"/>
        </w:rPr>
        <w:t xml:space="preserve"> S druge strane neznatno su smanjeni prihodi koji nisu u direktnoj vezi s kretanjem gospodarskih aktivnosti, a to su prihodi od imovine, </w:t>
      </w:r>
      <w:r w:rsidR="00D6162F" w:rsidRPr="000D7C25">
        <w:rPr>
          <w:rFonts w:cstheme="minorHAnsi"/>
          <w:sz w:val="20"/>
          <w:szCs w:val="20"/>
        </w:rPr>
        <w:t>prihodi od upravnih i administrativnih pristojbi, pristojbi po posebnim propisima i naknada, prihodi od prodaje proizvoda i roba te pruženih usluga i prihodi od donacija te kazne, upravne mjere, ostali prihodi te prihodi od prodaje proizvedene dugotrajne imovine.</w:t>
      </w:r>
      <w:r w:rsidR="000A4549" w:rsidRPr="000D7C25">
        <w:rPr>
          <w:rFonts w:cstheme="minorHAnsi"/>
          <w:sz w:val="20"/>
          <w:szCs w:val="20"/>
        </w:rPr>
        <w:t xml:space="preserve"> </w:t>
      </w:r>
    </w:p>
    <w:p w14:paraId="7804D9E1" w14:textId="77777777" w:rsidR="00772549" w:rsidRPr="000D7C25" w:rsidRDefault="00772549" w:rsidP="00772549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      </w:t>
      </w:r>
    </w:p>
    <w:p w14:paraId="6D27836C" w14:textId="26872D51" w:rsidR="00CC63C0" w:rsidRPr="000D7C25" w:rsidRDefault="00772549" w:rsidP="00772549">
      <w:pPr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ab/>
        <w:t>U financijskom izvještaju za razdoblje od 01.01.201</w:t>
      </w:r>
      <w:r w:rsidR="00883C03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>. do 30.09.201</w:t>
      </w:r>
      <w:r w:rsidR="00883C03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 xml:space="preserve">. ostvareno je za </w:t>
      </w:r>
      <w:r w:rsidR="00883C03" w:rsidRPr="000D7C25">
        <w:rPr>
          <w:rFonts w:cstheme="minorHAnsi"/>
          <w:sz w:val="20"/>
          <w:szCs w:val="20"/>
        </w:rPr>
        <w:t>39,76</w:t>
      </w:r>
      <w:r w:rsidRPr="000D7C25">
        <w:rPr>
          <w:rFonts w:cstheme="minorHAnsi"/>
          <w:sz w:val="20"/>
          <w:szCs w:val="20"/>
        </w:rPr>
        <w:t>% više ukupnih prihoda  u odnosu na isto razdoblje 201</w:t>
      </w:r>
      <w:r w:rsidR="00883C03" w:rsidRPr="000D7C25">
        <w:rPr>
          <w:rFonts w:cstheme="minorHAnsi"/>
          <w:sz w:val="20"/>
          <w:szCs w:val="20"/>
        </w:rPr>
        <w:t>8</w:t>
      </w:r>
      <w:r w:rsidRPr="000D7C25">
        <w:rPr>
          <w:rFonts w:cstheme="minorHAnsi"/>
          <w:sz w:val="20"/>
          <w:szCs w:val="20"/>
        </w:rPr>
        <w:t xml:space="preserve">. godine. Najveće povećanje  prihoda očituje se na prihodima od pomoći i to za </w:t>
      </w:r>
      <w:r w:rsidR="00883C03" w:rsidRPr="000D7C25">
        <w:rPr>
          <w:rFonts w:cstheme="minorHAnsi"/>
          <w:sz w:val="20"/>
          <w:szCs w:val="20"/>
        </w:rPr>
        <w:t>120,20</w:t>
      </w:r>
      <w:r w:rsidRPr="000D7C25">
        <w:rPr>
          <w:rFonts w:cstheme="minorHAnsi"/>
          <w:sz w:val="20"/>
          <w:szCs w:val="20"/>
        </w:rPr>
        <w:t xml:space="preserve">% uslijed </w:t>
      </w:r>
      <w:r w:rsidR="00984D9E" w:rsidRPr="000D7C25">
        <w:rPr>
          <w:rFonts w:cstheme="minorHAnsi"/>
          <w:sz w:val="20"/>
          <w:szCs w:val="20"/>
        </w:rPr>
        <w:t xml:space="preserve">ostvarenih prihoda od </w:t>
      </w:r>
      <w:r w:rsidRPr="000D7C25">
        <w:rPr>
          <w:rFonts w:cstheme="minorHAnsi"/>
          <w:sz w:val="20"/>
          <w:szCs w:val="20"/>
        </w:rPr>
        <w:t xml:space="preserve"> kompenzacijskih mjera sukladno </w:t>
      </w:r>
      <w:r w:rsidRPr="000D7C25">
        <w:rPr>
          <w:rFonts w:ascii="Calibri" w:hAnsi="Calibri" w:cs="Calibri"/>
          <w:sz w:val="20"/>
          <w:szCs w:val="20"/>
        </w:rPr>
        <w:t>Zakonu o financiranju jedinica lokalne i područne (regionalne) samouprave (Narodne novine br. 127/17)</w:t>
      </w:r>
      <w:r w:rsidRPr="000D7C25">
        <w:rPr>
          <w:rFonts w:cstheme="minorHAnsi"/>
          <w:sz w:val="20"/>
          <w:szCs w:val="20"/>
        </w:rPr>
        <w:t>. Također su ostvareni prihodi iz državnog proračuna</w:t>
      </w:r>
      <w:r w:rsidR="00984D9E" w:rsidRPr="000D7C25">
        <w:rPr>
          <w:rFonts w:cstheme="minorHAnsi"/>
          <w:sz w:val="20"/>
          <w:szCs w:val="20"/>
        </w:rPr>
        <w:t>,</w:t>
      </w:r>
      <w:r w:rsidRPr="000D7C25">
        <w:rPr>
          <w:rFonts w:ascii="Calibri" w:hAnsi="Calibri" w:cs="Calibri"/>
          <w:sz w:val="20"/>
          <w:szCs w:val="20"/>
        </w:rPr>
        <w:t xml:space="preserve"> </w:t>
      </w:r>
      <w:r w:rsidR="0091419E" w:rsidRPr="000D7C25">
        <w:rPr>
          <w:rFonts w:ascii="Calibri" w:hAnsi="Calibri" w:cs="Calibri"/>
          <w:bCs/>
          <w:sz w:val="20"/>
          <w:szCs w:val="20"/>
        </w:rPr>
        <w:t>Fonda za sufinanciranje provedbe EU projekata na regionalnoj i lokalnoj razini</w:t>
      </w:r>
      <w:r w:rsidR="0091419E" w:rsidRPr="000D7C25">
        <w:rPr>
          <w:rFonts w:ascii="Calibri" w:hAnsi="Calibri" w:cs="Calibri"/>
          <w:sz w:val="20"/>
          <w:szCs w:val="20"/>
        </w:rPr>
        <w:t xml:space="preserve"> </w:t>
      </w:r>
      <w:r w:rsidR="00984D9E" w:rsidRPr="000D7C25">
        <w:rPr>
          <w:rFonts w:ascii="Calibri" w:hAnsi="Calibri" w:cs="Calibri"/>
          <w:sz w:val="20"/>
          <w:szCs w:val="20"/>
        </w:rPr>
        <w:t xml:space="preserve">te iz državnog proračuna temeljem prijenosa sredstava iz EU </w:t>
      </w:r>
      <w:r w:rsidRPr="000D7C25">
        <w:rPr>
          <w:rFonts w:ascii="Calibri" w:hAnsi="Calibri" w:cs="Calibri"/>
          <w:sz w:val="20"/>
          <w:szCs w:val="20"/>
        </w:rPr>
        <w:t>na temelju sklopljenih ugovora o sufinanciranja projekta energetska obnova zgrade osnovne škole</w:t>
      </w:r>
      <w:r w:rsidR="00984D9E" w:rsidRPr="000D7C25">
        <w:rPr>
          <w:rFonts w:ascii="Calibri" w:hAnsi="Calibri" w:cs="Calibri"/>
          <w:sz w:val="20"/>
          <w:szCs w:val="20"/>
        </w:rPr>
        <w:t xml:space="preserve"> i</w:t>
      </w:r>
      <w:r w:rsidR="0091419E" w:rsidRPr="000D7C25">
        <w:rPr>
          <w:rFonts w:ascii="Calibri" w:hAnsi="Calibri" w:cs="Calibri"/>
          <w:sz w:val="20"/>
          <w:szCs w:val="20"/>
        </w:rPr>
        <w:t xml:space="preserve"> izgradnja</w:t>
      </w:r>
      <w:r w:rsidR="00984D9E" w:rsidRPr="000D7C25">
        <w:rPr>
          <w:rFonts w:ascii="Calibri" w:hAnsi="Calibri" w:cs="Calibri"/>
          <w:sz w:val="20"/>
          <w:szCs w:val="20"/>
        </w:rPr>
        <w:t xml:space="preserve"> reciklažnog dvorišta</w:t>
      </w:r>
      <w:r w:rsidRPr="000D7C25">
        <w:rPr>
          <w:rFonts w:ascii="Calibri" w:hAnsi="Calibri" w:cs="Calibri"/>
          <w:sz w:val="20"/>
          <w:szCs w:val="20"/>
        </w:rPr>
        <w:t>; prihodi iz županijskog proračuna</w:t>
      </w:r>
      <w:r w:rsidR="00984D9E" w:rsidRPr="000D7C25">
        <w:rPr>
          <w:rFonts w:ascii="Calibri" w:hAnsi="Calibri" w:cs="Calibri"/>
          <w:sz w:val="20"/>
          <w:szCs w:val="20"/>
        </w:rPr>
        <w:t>,</w:t>
      </w:r>
      <w:r w:rsidRPr="000D7C25">
        <w:rPr>
          <w:rFonts w:ascii="Calibri" w:hAnsi="Calibri" w:cs="Calibri"/>
          <w:sz w:val="20"/>
          <w:szCs w:val="20"/>
        </w:rPr>
        <w:t xml:space="preserve"> pomoći od izvanproračunskih korisnika državnog proračuna</w:t>
      </w:r>
      <w:r w:rsidR="00984D9E" w:rsidRPr="000D7C25">
        <w:rPr>
          <w:rFonts w:ascii="Calibri" w:hAnsi="Calibri" w:cs="Calibri"/>
          <w:sz w:val="20"/>
          <w:szCs w:val="20"/>
        </w:rPr>
        <w:t xml:space="preserve"> te od Agencije za plaćanje u poljoprivredi za izgradnju mosta i pristupne ceste u Strmcu Stubičkom.</w:t>
      </w:r>
      <w:r w:rsidRPr="000D7C25">
        <w:rPr>
          <w:rFonts w:ascii="Calibri" w:hAnsi="Calibri" w:cs="Calibri"/>
          <w:sz w:val="20"/>
          <w:szCs w:val="20"/>
        </w:rPr>
        <w:t xml:space="preserve"> </w:t>
      </w:r>
      <w:r w:rsidRPr="000D7C25">
        <w:rPr>
          <w:rFonts w:cstheme="minorHAnsi"/>
          <w:sz w:val="20"/>
          <w:szCs w:val="20"/>
        </w:rPr>
        <w:t xml:space="preserve"> U porastu su</w:t>
      </w:r>
      <w:r w:rsidR="007D33AE" w:rsidRPr="000D7C25">
        <w:rPr>
          <w:rFonts w:cstheme="minorHAnsi"/>
          <w:sz w:val="20"/>
          <w:szCs w:val="20"/>
        </w:rPr>
        <w:t xml:space="preserve"> i</w:t>
      </w:r>
      <w:r w:rsidRPr="000D7C25">
        <w:rPr>
          <w:rFonts w:cstheme="minorHAnsi"/>
          <w:sz w:val="20"/>
          <w:szCs w:val="20"/>
        </w:rPr>
        <w:t xml:space="preserve"> prihodi od poreza</w:t>
      </w:r>
      <w:r w:rsidR="00D731EA" w:rsidRPr="000D7C25">
        <w:rPr>
          <w:rFonts w:cstheme="minorHAnsi"/>
          <w:sz w:val="20"/>
          <w:szCs w:val="20"/>
        </w:rPr>
        <w:t xml:space="preserve"> na dohodak i to 19,17%</w:t>
      </w:r>
      <w:r w:rsidRPr="000D7C25">
        <w:rPr>
          <w:rFonts w:cstheme="minorHAnsi"/>
          <w:sz w:val="20"/>
          <w:szCs w:val="20"/>
        </w:rPr>
        <w:t xml:space="preserve"> </w:t>
      </w:r>
      <w:r w:rsidR="00D731EA" w:rsidRPr="000D7C25">
        <w:rPr>
          <w:rFonts w:cstheme="minorHAnsi"/>
          <w:sz w:val="20"/>
          <w:szCs w:val="20"/>
        </w:rPr>
        <w:t>kao i</w:t>
      </w:r>
      <w:r w:rsidRPr="000D7C25">
        <w:rPr>
          <w:rFonts w:cstheme="minorHAnsi"/>
          <w:sz w:val="20"/>
          <w:szCs w:val="20"/>
        </w:rPr>
        <w:t xml:space="preserve">  prihodi od poreza na imovinu koji su u usporedbi sa 201</w:t>
      </w:r>
      <w:r w:rsidR="00C2641C">
        <w:rPr>
          <w:rFonts w:cstheme="minorHAnsi"/>
          <w:sz w:val="20"/>
          <w:szCs w:val="20"/>
        </w:rPr>
        <w:t>8</w:t>
      </w:r>
      <w:r w:rsidRPr="000D7C25">
        <w:rPr>
          <w:rFonts w:cstheme="minorHAnsi"/>
          <w:sz w:val="20"/>
          <w:szCs w:val="20"/>
        </w:rPr>
        <w:t xml:space="preserve">. godinom veći za </w:t>
      </w:r>
      <w:r w:rsidR="00D731EA" w:rsidRPr="000D7C25">
        <w:rPr>
          <w:rFonts w:cstheme="minorHAnsi"/>
          <w:sz w:val="20"/>
          <w:szCs w:val="20"/>
        </w:rPr>
        <w:t>6,53</w:t>
      </w:r>
      <w:r w:rsidRPr="000D7C25">
        <w:rPr>
          <w:rFonts w:cstheme="minorHAnsi"/>
          <w:sz w:val="20"/>
          <w:szCs w:val="20"/>
        </w:rPr>
        <w:t xml:space="preserve">%. </w:t>
      </w:r>
      <w:r w:rsidR="00D731EA" w:rsidRPr="000D7C25">
        <w:rPr>
          <w:rFonts w:cstheme="minorHAnsi"/>
          <w:sz w:val="20"/>
          <w:szCs w:val="20"/>
        </w:rPr>
        <w:t>Sukladno</w:t>
      </w:r>
      <w:r w:rsidRPr="000D7C25">
        <w:rPr>
          <w:rFonts w:ascii="Calibri" w:hAnsi="Calibri" w:cs="Calibri"/>
          <w:sz w:val="20"/>
          <w:szCs w:val="20"/>
        </w:rPr>
        <w:t xml:space="preserve">  Zakon</w:t>
      </w:r>
      <w:r w:rsidR="00D731EA" w:rsidRPr="000D7C25">
        <w:rPr>
          <w:rFonts w:ascii="Calibri" w:hAnsi="Calibri" w:cs="Calibri"/>
          <w:sz w:val="20"/>
          <w:szCs w:val="20"/>
        </w:rPr>
        <w:t>u</w:t>
      </w:r>
      <w:r w:rsidRPr="000D7C25">
        <w:rPr>
          <w:rFonts w:ascii="Calibri" w:hAnsi="Calibri" w:cs="Calibri"/>
          <w:sz w:val="20"/>
          <w:szCs w:val="20"/>
        </w:rPr>
        <w:t xml:space="preserve"> o financiranju jedinica lokalne i područne (regionalne) samouprave, od 01.01.2018. godine, općina ima udio 60,00% od ukupno ostvarenih prihoda od poreza na dohodak na području općine, a obzirom da ima referentnu vrijednost kapaciteta ostvarenih prihoda </w:t>
      </w:r>
      <w:r w:rsidR="00D731EA" w:rsidRPr="000D7C25">
        <w:rPr>
          <w:rFonts w:ascii="Calibri" w:hAnsi="Calibri" w:cs="Calibri"/>
          <w:sz w:val="20"/>
          <w:szCs w:val="20"/>
        </w:rPr>
        <w:t>3.006,11</w:t>
      </w:r>
      <w:r w:rsidRPr="000D7C25">
        <w:rPr>
          <w:rFonts w:ascii="Calibri" w:hAnsi="Calibri" w:cs="Calibri"/>
          <w:sz w:val="20"/>
          <w:szCs w:val="20"/>
        </w:rPr>
        <w:t xml:space="preserve"> kn što je više od referentne vrijednosti kapaciteta ostvarenih prihoda za općine za 201</w:t>
      </w:r>
      <w:r w:rsidR="00D731EA" w:rsidRPr="000D7C25">
        <w:rPr>
          <w:rFonts w:ascii="Calibri" w:hAnsi="Calibri" w:cs="Calibri"/>
          <w:sz w:val="20"/>
          <w:szCs w:val="20"/>
        </w:rPr>
        <w:t>9</w:t>
      </w:r>
      <w:r w:rsidRPr="000D7C25">
        <w:rPr>
          <w:rFonts w:ascii="Calibri" w:hAnsi="Calibri" w:cs="Calibri"/>
          <w:sz w:val="20"/>
          <w:szCs w:val="20"/>
        </w:rPr>
        <w:t xml:space="preserve">. godinu koji je utvrđen u iznosu </w:t>
      </w:r>
      <w:r w:rsidR="00D731EA" w:rsidRPr="000D7C25">
        <w:rPr>
          <w:rFonts w:ascii="Calibri" w:hAnsi="Calibri" w:cs="Calibri"/>
          <w:sz w:val="20"/>
          <w:szCs w:val="20"/>
        </w:rPr>
        <w:t>1.942,77</w:t>
      </w:r>
      <w:r w:rsidRPr="000D7C25">
        <w:rPr>
          <w:rFonts w:ascii="Calibri" w:hAnsi="Calibri" w:cs="Calibri"/>
          <w:sz w:val="20"/>
          <w:szCs w:val="20"/>
        </w:rPr>
        <w:t xml:space="preserve"> kn, ne ostvaruje pravo na sredstva fisklanog izravnanja. </w:t>
      </w:r>
      <w:r w:rsidR="00CC63C0" w:rsidRPr="000D7C25">
        <w:rPr>
          <w:rFonts w:ascii="Calibri" w:hAnsi="Calibri" w:cs="Calibri"/>
          <w:sz w:val="20"/>
          <w:szCs w:val="20"/>
        </w:rPr>
        <w:t>U odnosu na 2018. godinu, u 2019. godini veći su primici odnosno realiziran je kredit za projekt Rekonstrukcija i modernizacija javne rasvjete na području Općine Stubičke Toplice.</w:t>
      </w:r>
    </w:p>
    <w:p w14:paraId="1FE9BBA6" w14:textId="77777777" w:rsidR="005937E7" w:rsidRPr="000D7C25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0D7C25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14:paraId="64D09B0E" w14:textId="77777777" w:rsidR="00D9062D" w:rsidRPr="000D7C25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0D7C25" w:rsidRPr="000D7C25" w14:paraId="069D7FD3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31D95A6D" w14:textId="77777777" w:rsidR="00420325" w:rsidRPr="000D7C25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7A6EE87A" w14:textId="77777777" w:rsidR="00420325" w:rsidRPr="000D7C25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FC3FD0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0BD98B35" w14:textId="77777777" w:rsidR="00420325" w:rsidRPr="000D7C25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FC3FD0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3BE1F89" w14:textId="77777777" w:rsidR="00420325" w:rsidRPr="000D7C25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D170AA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1FCC95DA" w14:textId="77777777" w:rsidR="00420325" w:rsidRPr="000D7C25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D170AA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2375C05A" w14:textId="77777777" w:rsidTr="00420325">
        <w:tc>
          <w:tcPr>
            <w:tcW w:w="3633" w:type="dxa"/>
          </w:tcPr>
          <w:p w14:paraId="633D7AE5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14:paraId="48A09AB4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2.147.650,62</w:t>
            </w:r>
          </w:p>
        </w:tc>
        <w:tc>
          <w:tcPr>
            <w:tcW w:w="1416" w:type="dxa"/>
          </w:tcPr>
          <w:p w14:paraId="545BBA5D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2.302.867,20</w:t>
            </w:r>
          </w:p>
        </w:tc>
        <w:tc>
          <w:tcPr>
            <w:tcW w:w="1408" w:type="dxa"/>
          </w:tcPr>
          <w:p w14:paraId="5E096CDB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1.650.975,37</w:t>
            </w:r>
          </w:p>
        </w:tc>
        <w:tc>
          <w:tcPr>
            <w:tcW w:w="1408" w:type="dxa"/>
          </w:tcPr>
          <w:p w14:paraId="2AA1FD0E" w14:textId="77777777" w:rsidR="00420325" w:rsidRPr="000D7C25" w:rsidRDefault="00D170AA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1.705.729,61</w:t>
            </w:r>
          </w:p>
        </w:tc>
      </w:tr>
      <w:tr w:rsidR="000D7C25" w:rsidRPr="000D7C25" w14:paraId="189F29C1" w14:textId="77777777" w:rsidTr="00420325">
        <w:tc>
          <w:tcPr>
            <w:tcW w:w="3633" w:type="dxa"/>
          </w:tcPr>
          <w:p w14:paraId="7761145C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14:paraId="6256FB31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2.786.956,36</w:t>
            </w:r>
          </w:p>
        </w:tc>
        <w:tc>
          <w:tcPr>
            <w:tcW w:w="1416" w:type="dxa"/>
          </w:tcPr>
          <w:p w14:paraId="3DEF64B0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3.287.637,63</w:t>
            </w:r>
          </w:p>
        </w:tc>
        <w:tc>
          <w:tcPr>
            <w:tcW w:w="1408" w:type="dxa"/>
          </w:tcPr>
          <w:p w14:paraId="23F67E45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2.414.499,06</w:t>
            </w:r>
          </w:p>
        </w:tc>
        <w:tc>
          <w:tcPr>
            <w:tcW w:w="1408" w:type="dxa"/>
          </w:tcPr>
          <w:p w14:paraId="4256D7BC" w14:textId="77777777" w:rsidR="00420325" w:rsidRPr="000D7C25" w:rsidRDefault="00D170A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2.554.254,91</w:t>
            </w:r>
          </w:p>
        </w:tc>
      </w:tr>
      <w:tr w:rsidR="000D7C25" w:rsidRPr="000D7C25" w14:paraId="43CB066D" w14:textId="77777777" w:rsidTr="00420325">
        <w:tc>
          <w:tcPr>
            <w:tcW w:w="3633" w:type="dxa"/>
          </w:tcPr>
          <w:p w14:paraId="2D119E84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14:paraId="17FAF9C9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34.004,89</w:t>
            </w:r>
          </w:p>
        </w:tc>
        <w:tc>
          <w:tcPr>
            <w:tcW w:w="1416" w:type="dxa"/>
          </w:tcPr>
          <w:p w14:paraId="124D409B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23.942,39</w:t>
            </w:r>
          </w:p>
        </w:tc>
        <w:tc>
          <w:tcPr>
            <w:tcW w:w="1408" w:type="dxa"/>
          </w:tcPr>
          <w:p w14:paraId="38B430B5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19.089,16</w:t>
            </w:r>
          </w:p>
        </w:tc>
        <w:tc>
          <w:tcPr>
            <w:tcW w:w="1408" w:type="dxa"/>
          </w:tcPr>
          <w:p w14:paraId="73BD64A5" w14:textId="77777777" w:rsidR="00420325" w:rsidRPr="000D7C25" w:rsidRDefault="00D170A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43.740,46</w:t>
            </w:r>
          </w:p>
        </w:tc>
      </w:tr>
      <w:tr w:rsidR="000D7C25" w:rsidRPr="000D7C25" w14:paraId="160529F4" w14:textId="77777777" w:rsidTr="00420325">
        <w:tc>
          <w:tcPr>
            <w:tcW w:w="3633" w:type="dxa"/>
          </w:tcPr>
          <w:p w14:paraId="5EC2606F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14:paraId="61FA5E2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41.146,03</w:t>
            </w:r>
          </w:p>
        </w:tc>
        <w:tc>
          <w:tcPr>
            <w:tcW w:w="1416" w:type="dxa"/>
          </w:tcPr>
          <w:p w14:paraId="5CFC2570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35.205,05</w:t>
            </w:r>
          </w:p>
        </w:tc>
        <w:tc>
          <w:tcPr>
            <w:tcW w:w="1408" w:type="dxa"/>
          </w:tcPr>
          <w:p w14:paraId="503516E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19.555,68</w:t>
            </w:r>
          </w:p>
        </w:tc>
        <w:tc>
          <w:tcPr>
            <w:tcW w:w="1408" w:type="dxa"/>
          </w:tcPr>
          <w:p w14:paraId="1FBC4DE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14.919,82</w:t>
            </w:r>
          </w:p>
        </w:tc>
      </w:tr>
      <w:tr w:rsidR="000D7C25" w:rsidRPr="000D7C25" w14:paraId="016FC346" w14:textId="77777777" w:rsidTr="00420325">
        <w:tc>
          <w:tcPr>
            <w:tcW w:w="3633" w:type="dxa"/>
          </w:tcPr>
          <w:p w14:paraId="5F272E5C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14:paraId="7D2A6C8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289.291,38</w:t>
            </w:r>
          </w:p>
        </w:tc>
        <w:tc>
          <w:tcPr>
            <w:tcW w:w="1416" w:type="dxa"/>
          </w:tcPr>
          <w:p w14:paraId="5F91EFC6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300.241,55</w:t>
            </w:r>
          </w:p>
        </w:tc>
        <w:tc>
          <w:tcPr>
            <w:tcW w:w="1408" w:type="dxa"/>
          </w:tcPr>
          <w:p w14:paraId="7CA8677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215.292,88</w:t>
            </w:r>
          </w:p>
        </w:tc>
        <w:tc>
          <w:tcPr>
            <w:tcW w:w="1408" w:type="dxa"/>
          </w:tcPr>
          <w:p w14:paraId="6395B5E3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174.034,22</w:t>
            </w:r>
          </w:p>
        </w:tc>
      </w:tr>
      <w:tr w:rsidR="000D7C25" w:rsidRPr="000D7C25" w14:paraId="2C333007" w14:textId="77777777" w:rsidTr="00420325">
        <w:tc>
          <w:tcPr>
            <w:tcW w:w="3633" w:type="dxa"/>
          </w:tcPr>
          <w:p w14:paraId="37A306EF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14:paraId="044DC2A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624.738,04</w:t>
            </w:r>
          </w:p>
        </w:tc>
        <w:tc>
          <w:tcPr>
            <w:tcW w:w="1416" w:type="dxa"/>
          </w:tcPr>
          <w:p w14:paraId="3630B4EB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614.223,48</w:t>
            </w:r>
          </w:p>
        </w:tc>
        <w:tc>
          <w:tcPr>
            <w:tcW w:w="1408" w:type="dxa"/>
          </w:tcPr>
          <w:p w14:paraId="05995CB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398.521,68</w:t>
            </w:r>
          </w:p>
        </w:tc>
        <w:tc>
          <w:tcPr>
            <w:tcW w:w="1408" w:type="dxa"/>
          </w:tcPr>
          <w:p w14:paraId="6786749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420.513,08</w:t>
            </w:r>
          </w:p>
        </w:tc>
      </w:tr>
      <w:tr w:rsidR="000D7C25" w:rsidRPr="000D7C25" w14:paraId="198F837F" w14:textId="77777777" w:rsidTr="00420325">
        <w:tc>
          <w:tcPr>
            <w:tcW w:w="3633" w:type="dxa"/>
          </w:tcPr>
          <w:p w14:paraId="42C6435A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14:paraId="4B12A01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810.160,63</w:t>
            </w:r>
          </w:p>
        </w:tc>
        <w:tc>
          <w:tcPr>
            <w:tcW w:w="1416" w:type="dxa"/>
          </w:tcPr>
          <w:p w14:paraId="2495A998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790.399,91</w:t>
            </w:r>
          </w:p>
        </w:tc>
        <w:tc>
          <w:tcPr>
            <w:tcW w:w="1408" w:type="dxa"/>
          </w:tcPr>
          <w:p w14:paraId="1C97E80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529.486,68</w:t>
            </w:r>
          </w:p>
        </w:tc>
        <w:tc>
          <w:tcPr>
            <w:tcW w:w="1408" w:type="dxa"/>
          </w:tcPr>
          <w:p w14:paraId="0AAC92FC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797.677,62</w:t>
            </w:r>
          </w:p>
        </w:tc>
      </w:tr>
      <w:tr w:rsidR="000D7C25" w:rsidRPr="000D7C25" w14:paraId="5FBF90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31B47096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724FEEF9" w14:textId="77777777" w:rsidR="00D170AA" w:rsidRPr="000D7C25" w:rsidRDefault="005E57FC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6.733.947,95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7F8FC768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7.354.517,21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49E1D1D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5.247.420,51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73C4F6A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5.710.869,72</w:t>
            </w:r>
          </w:p>
        </w:tc>
      </w:tr>
      <w:tr w:rsidR="000D7C25" w:rsidRPr="000D7C25" w14:paraId="484C3CAC" w14:textId="77777777" w:rsidTr="00420325">
        <w:tc>
          <w:tcPr>
            <w:tcW w:w="3633" w:type="dxa"/>
          </w:tcPr>
          <w:p w14:paraId="531EA174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5" w:type="dxa"/>
          </w:tcPr>
          <w:p w14:paraId="5924C01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16" w:type="dxa"/>
          </w:tcPr>
          <w:p w14:paraId="71EA5A91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90.400,65</w:t>
            </w:r>
          </w:p>
        </w:tc>
        <w:tc>
          <w:tcPr>
            <w:tcW w:w="1408" w:type="dxa"/>
          </w:tcPr>
          <w:p w14:paraId="46A16490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32.450,06</w:t>
            </w:r>
          </w:p>
        </w:tc>
        <w:tc>
          <w:tcPr>
            <w:tcW w:w="1408" w:type="dxa"/>
          </w:tcPr>
          <w:p w14:paraId="389BB3C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62.992,71</w:t>
            </w:r>
          </w:p>
        </w:tc>
      </w:tr>
      <w:tr w:rsidR="000D7C25" w:rsidRPr="000D7C25" w14:paraId="19D18EA8" w14:textId="77777777" w:rsidTr="00420325">
        <w:tc>
          <w:tcPr>
            <w:tcW w:w="3633" w:type="dxa"/>
          </w:tcPr>
          <w:p w14:paraId="2FC05D7D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15" w:type="dxa"/>
          </w:tcPr>
          <w:p w14:paraId="01CF576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1.038.632,21</w:t>
            </w:r>
          </w:p>
        </w:tc>
        <w:tc>
          <w:tcPr>
            <w:tcW w:w="1416" w:type="dxa"/>
          </w:tcPr>
          <w:p w14:paraId="0A59FAB2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1.310.012,28</w:t>
            </w:r>
          </w:p>
        </w:tc>
        <w:tc>
          <w:tcPr>
            <w:tcW w:w="1408" w:type="dxa"/>
          </w:tcPr>
          <w:p w14:paraId="38F3291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951.248,47</w:t>
            </w:r>
          </w:p>
        </w:tc>
        <w:tc>
          <w:tcPr>
            <w:tcW w:w="1408" w:type="dxa"/>
          </w:tcPr>
          <w:p w14:paraId="637BA76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6.535.169,61</w:t>
            </w:r>
          </w:p>
        </w:tc>
      </w:tr>
      <w:tr w:rsidR="000D7C25" w:rsidRPr="000D7C25" w14:paraId="5429B165" w14:textId="77777777" w:rsidTr="00420325">
        <w:tc>
          <w:tcPr>
            <w:tcW w:w="3633" w:type="dxa"/>
          </w:tcPr>
          <w:p w14:paraId="175A8904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14:paraId="07472AF5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16" w:type="dxa"/>
          </w:tcPr>
          <w:p w14:paraId="5047BDF0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2.299.254,17</w:t>
            </w:r>
          </w:p>
        </w:tc>
        <w:tc>
          <w:tcPr>
            <w:tcW w:w="1408" w:type="dxa"/>
          </w:tcPr>
          <w:p w14:paraId="6B4E7E38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22.244,80</w:t>
            </w:r>
          </w:p>
        </w:tc>
        <w:tc>
          <w:tcPr>
            <w:tcW w:w="1408" w:type="dxa"/>
          </w:tcPr>
          <w:p w14:paraId="3D4D28F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15.759,41</w:t>
            </w:r>
          </w:p>
        </w:tc>
      </w:tr>
      <w:tr w:rsidR="000D7C25" w:rsidRPr="000D7C25" w14:paraId="31490F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5E8760D5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lastRenderedPageBreak/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A9AAFDD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1.097.652,54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6B5954A6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3.699.667,10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5D115A51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1.005.943,33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DC2B28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6.613.921,73</w:t>
            </w:r>
          </w:p>
        </w:tc>
      </w:tr>
      <w:tr w:rsidR="000D7C25" w:rsidRPr="000D7C25" w14:paraId="3C7CC86A" w14:textId="77777777" w:rsidTr="005E57FC">
        <w:tc>
          <w:tcPr>
            <w:tcW w:w="3633" w:type="dxa"/>
            <w:shd w:val="clear" w:color="auto" w:fill="FFFFFF" w:themeFill="background1"/>
          </w:tcPr>
          <w:p w14:paraId="5AEB909A" w14:textId="77777777" w:rsidR="005E57FC" w:rsidRPr="000D7C25" w:rsidRDefault="001D4FAB" w:rsidP="00D170AA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5" w:type="dxa"/>
            <w:shd w:val="clear" w:color="auto" w:fill="FFFFFF" w:themeFill="background1"/>
          </w:tcPr>
          <w:p w14:paraId="1A175098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shd w:val="clear" w:color="auto" w:fill="FFFFFF" w:themeFill="background1"/>
          </w:tcPr>
          <w:p w14:paraId="0B7B993C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FFFFFF" w:themeFill="background1"/>
          </w:tcPr>
          <w:p w14:paraId="1FB24740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FFFFFF" w:themeFill="background1"/>
          </w:tcPr>
          <w:p w14:paraId="15641B6C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20.138,72</w:t>
            </w:r>
          </w:p>
        </w:tc>
      </w:tr>
      <w:tr w:rsidR="000D7C25" w:rsidRPr="000D7C25" w14:paraId="6D81B1D1" w14:textId="77777777" w:rsidTr="00022946">
        <w:tc>
          <w:tcPr>
            <w:tcW w:w="3633" w:type="dxa"/>
            <w:shd w:val="clear" w:color="auto" w:fill="DBE5F1" w:themeFill="accent1" w:themeFillTint="33"/>
          </w:tcPr>
          <w:p w14:paraId="1A215D9B" w14:textId="77777777" w:rsidR="005E57FC" w:rsidRPr="000D7C25" w:rsidRDefault="001D4FAB" w:rsidP="00D170AA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UKUPNO IZDACI: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D10C7A6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57C7D198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7C08717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00B5327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20.138,72</w:t>
            </w:r>
          </w:p>
        </w:tc>
      </w:tr>
      <w:tr w:rsidR="000D7C25" w:rsidRPr="000D7C25" w14:paraId="47192007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238F970A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UKUPNO RASHODI</w:t>
            </w:r>
            <w:r w:rsidR="00022946" w:rsidRPr="000D7C25">
              <w:rPr>
                <w:rFonts w:cstheme="minorHAnsi"/>
                <w:b/>
                <w:sz w:val="18"/>
                <w:szCs w:val="18"/>
              </w:rPr>
              <w:t xml:space="preserve"> I IZDACI: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56A214B4" w14:textId="77777777" w:rsidR="00D170AA" w:rsidRPr="000D7C25" w:rsidRDefault="005E57FC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7.831.600,49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23010E77" w14:textId="77777777" w:rsidR="00D170AA" w:rsidRPr="000D7C25" w:rsidRDefault="00220157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11.054.184,31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7A94B33C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6.253.363,84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5ACF3FE" w14:textId="77777777" w:rsidR="00D170AA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12.344.930,17</w:t>
            </w:r>
          </w:p>
        </w:tc>
      </w:tr>
    </w:tbl>
    <w:p w14:paraId="29EE94B2" w14:textId="77777777" w:rsidR="00D9062D" w:rsidRPr="000D7C25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14:paraId="40CB3693" w14:textId="77777777" w:rsidR="00977CC5" w:rsidRPr="004E384E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Usporedbom izvršenja </w:t>
      </w:r>
      <w:r w:rsidR="005937E7" w:rsidRPr="000D7C25">
        <w:rPr>
          <w:rFonts w:cstheme="minorHAnsi"/>
          <w:sz w:val="20"/>
          <w:szCs w:val="20"/>
        </w:rPr>
        <w:t xml:space="preserve">rashoda </w:t>
      </w:r>
      <w:r w:rsidR="008C0F2D" w:rsidRPr="000D7C25">
        <w:rPr>
          <w:rFonts w:cstheme="minorHAnsi"/>
          <w:sz w:val="20"/>
          <w:szCs w:val="20"/>
        </w:rPr>
        <w:t>proračuna za 201</w:t>
      </w:r>
      <w:r w:rsidR="00220157" w:rsidRPr="000D7C25">
        <w:rPr>
          <w:rFonts w:cstheme="minorHAnsi"/>
          <w:sz w:val="20"/>
          <w:szCs w:val="20"/>
        </w:rPr>
        <w:t>8</w:t>
      </w:r>
      <w:r w:rsidR="008C0F2D" w:rsidRPr="000D7C25">
        <w:rPr>
          <w:rFonts w:cstheme="minorHAnsi"/>
          <w:sz w:val="20"/>
          <w:szCs w:val="20"/>
        </w:rPr>
        <w:t>. godinu u odnosu na 201</w:t>
      </w:r>
      <w:r w:rsidR="00220157" w:rsidRPr="000D7C25">
        <w:rPr>
          <w:rFonts w:cstheme="minorHAnsi"/>
          <w:sz w:val="20"/>
          <w:szCs w:val="20"/>
        </w:rPr>
        <w:t>7</w:t>
      </w:r>
      <w:r w:rsidRPr="000D7C25">
        <w:rPr>
          <w:rFonts w:cstheme="minorHAnsi"/>
          <w:sz w:val="20"/>
          <w:szCs w:val="20"/>
        </w:rPr>
        <w:t>. godinu, vidljivo je da su</w:t>
      </w:r>
      <w:r w:rsidR="008C0F2D" w:rsidRPr="000D7C25">
        <w:rPr>
          <w:rFonts w:cstheme="minorHAnsi"/>
          <w:sz w:val="20"/>
          <w:szCs w:val="20"/>
        </w:rPr>
        <w:t xml:space="preserve"> ukupni rashodi </w:t>
      </w:r>
      <w:r w:rsidR="00220157" w:rsidRPr="000D7C25">
        <w:rPr>
          <w:rFonts w:cstheme="minorHAnsi"/>
          <w:sz w:val="20"/>
          <w:szCs w:val="20"/>
        </w:rPr>
        <w:t>povećani</w:t>
      </w:r>
      <w:r w:rsidR="008C0F2D" w:rsidRPr="000D7C25">
        <w:rPr>
          <w:rFonts w:cstheme="minorHAnsi"/>
          <w:sz w:val="20"/>
          <w:szCs w:val="20"/>
        </w:rPr>
        <w:t xml:space="preserve"> za </w:t>
      </w:r>
      <w:r w:rsidR="00220157" w:rsidRPr="000D7C25">
        <w:rPr>
          <w:rFonts w:cstheme="minorHAnsi"/>
          <w:sz w:val="20"/>
          <w:szCs w:val="20"/>
        </w:rPr>
        <w:t>41,15</w:t>
      </w:r>
      <w:r w:rsidRPr="000D7C25">
        <w:rPr>
          <w:rFonts w:cstheme="minorHAnsi"/>
          <w:sz w:val="20"/>
          <w:szCs w:val="20"/>
        </w:rPr>
        <w:t xml:space="preserve">%. </w:t>
      </w:r>
      <w:r w:rsidR="00220157" w:rsidRPr="000D7C25">
        <w:rPr>
          <w:rFonts w:cstheme="minorHAnsi"/>
          <w:sz w:val="20"/>
          <w:szCs w:val="20"/>
        </w:rPr>
        <w:t>Povećanje se očituje u rashodima za zaposlene</w:t>
      </w:r>
      <w:r w:rsidR="006F2634" w:rsidRPr="000D7C25">
        <w:rPr>
          <w:rFonts w:cstheme="minorHAnsi"/>
          <w:sz w:val="20"/>
          <w:szCs w:val="20"/>
        </w:rPr>
        <w:t xml:space="preserve">, materijalnim rashodima i pomoćima. Također su rashodi za nabavu nefinancijske imovine povećani za 237,05% radi realizacije projekta </w:t>
      </w:r>
      <w:r w:rsidR="006F2634" w:rsidRPr="004E384E">
        <w:rPr>
          <w:rFonts w:cstheme="minorHAnsi"/>
          <w:sz w:val="20"/>
          <w:szCs w:val="20"/>
        </w:rPr>
        <w:t>energetska obnova zgrade osnovne škole, izgradnja reciklažnog dvorišta te izgradnja mosta i pristupne ceste u Strmcu Stubičkom. S</w:t>
      </w:r>
      <w:r w:rsidRPr="004E384E">
        <w:rPr>
          <w:rFonts w:cstheme="minorHAnsi"/>
          <w:sz w:val="20"/>
          <w:szCs w:val="20"/>
        </w:rPr>
        <w:t>manjenje</w:t>
      </w:r>
      <w:r w:rsidR="008C0F2D" w:rsidRPr="004E384E">
        <w:rPr>
          <w:rFonts w:cstheme="minorHAnsi"/>
          <w:sz w:val="20"/>
          <w:szCs w:val="20"/>
        </w:rPr>
        <w:t xml:space="preserve"> se </w:t>
      </w:r>
      <w:r w:rsidR="006F2634" w:rsidRPr="004E384E">
        <w:rPr>
          <w:rFonts w:cstheme="minorHAnsi"/>
          <w:sz w:val="20"/>
          <w:szCs w:val="20"/>
        </w:rPr>
        <w:t>očituje kod</w:t>
      </w:r>
      <w:r w:rsidR="008C0F2D" w:rsidRPr="004E384E">
        <w:rPr>
          <w:rFonts w:cstheme="minorHAnsi"/>
          <w:sz w:val="20"/>
          <w:szCs w:val="20"/>
        </w:rPr>
        <w:t xml:space="preserve"> financijskih</w:t>
      </w:r>
      <w:r w:rsidR="0044076A" w:rsidRPr="004E384E">
        <w:rPr>
          <w:rFonts w:cstheme="minorHAnsi"/>
          <w:sz w:val="20"/>
          <w:szCs w:val="20"/>
        </w:rPr>
        <w:t xml:space="preserve"> rashoda,</w:t>
      </w:r>
      <w:r w:rsidR="008C0F2D" w:rsidRPr="004E384E">
        <w:rPr>
          <w:rFonts w:cstheme="minorHAnsi"/>
          <w:sz w:val="20"/>
          <w:szCs w:val="20"/>
        </w:rPr>
        <w:t xml:space="preserve"> subvencijama te </w:t>
      </w:r>
      <w:r w:rsidR="006F2634" w:rsidRPr="004E384E">
        <w:rPr>
          <w:rFonts w:cstheme="minorHAnsi"/>
          <w:sz w:val="20"/>
          <w:szCs w:val="20"/>
        </w:rPr>
        <w:t>naknadama građanima i kućanstvima na temelju osiguranja i druge naknade</w:t>
      </w:r>
      <w:r w:rsidRPr="004E384E">
        <w:rPr>
          <w:rFonts w:cstheme="minorHAnsi"/>
          <w:sz w:val="20"/>
          <w:szCs w:val="20"/>
        </w:rPr>
        <w:t xml:space="preserve"> </w:t>
      </w:r>
      <w:r w:rsidR="00F63F14" w:rsidRPr="004E384E">
        <w:rPr>
          <w:rFonts w:cstheme="minorHAnsi"/>
          <w:sz w:val="20"/>
          <w:szCs w:val="20"/>
        </w:rPr>
        <w:t xml:space="preserve">te donacije. </w:t>
      </w:r>
    </w:p>
    <w:p w14:paraId="4EF96AEF" w14:textId="77777777" w:rsidR="00CF7683" w:rsidRPr="000D7C25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U financijskom izvješ</w:t>
      </w:r>
      <w:r w:rsidR="008C0F2D" w:rsidRPr="000D7C25">
        <w:rPr>
          <w:rFonts w:cstheme="minorHAnsi"/>
          <w:sz w:val="20"/>
          <w:szCs w:val="20"/>
        </w:rPr>
        <w:t>taju  za razdoblje od 01.01.201</w:t>
      </w:r>
      <w:r w:rsidR="00F63F14" w:rsidRPr="000D7C25">
        <w:rPr>
          <w:rFonts w:cstheme="minorHAnsi"/>
          <w:sz w:val="20"/>
          <w:szCs w:val="20"/>
        </w:rPr>
        <w:t>9</w:t>
      </w:r>
      <w:r w:rsidR="008C0F2D" w:rsidRPr="000D7C25">
        <w:rPr>
          <w:rFonts w:cstheme="minorHAnsi"/>
          <w:sz w:val="20"/>
          <w:szCs w:val="20"/>
        </w:rPr>
        <w:t>. do 30.09.201</w:t>
      </w:r>
      <w:r w:rsidR="00F63F14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 xml:space="preserve">. </w:t>
      </w:r>
      <w:r w:rsidR="005937E7" w:rsidRPr="000D7C25">
        <w:rPr>
          <w:rFonts w:cstheme="minorHAnsi"/>
          <w:sz w:val="20"/>
          <w:szCs w:val="20"/>
        </w:rPr>
        <w:t xml:space="preserve">evidentno je da su </w:t>
      </w:r>
      <w:r w:rsidR="00F63F14" w:rsidRPr="000D7C25">
        <w:rPr>
          <w:rFonts w:cstheme="minorHAnsi"/>
          <w:sz w:val="20"/>
          <w:szCs w:val="20"/>
        </w:rPr>
        <w:t xml:space="preserve">ukupni </w:t>
      </w:r>
      <w:r w:rsidR="005937E7" w:rsidRPr="000D7C25">
        <w:rPr>
          <w:rFonts w:cstheme="minorHAnsi"/>
          <w:sz w:val="20"/>
          <w:szCs w:val="20"/>
        </w:rPr>
        <w:t>ras</w:t>
      </w:r>
      <w:r w:rsidR="00CF7683" w:rsidRPr="000D7C25">
        <w:rPr>
          <w:rFonts w:cstheme="minorHAnsi"/>
          <w:sz w:val="20"/>
          <w:szCs w:val="20"/>
        </w:rPr>
        <w:t xml:space="preserve">hodi </w:t>
      </w:r>
      <w:r w:rsidR="00F63F14" w:rsidRPr="000D7C25">
        <w:rPr>
          <w:rFonts w:cstheme="minorHAnsi"/>
          <w:sz w:val="20"/>
          <w:szCs w:val="20"/>
        </w:rPr>
        <w:t xml:space="preserve">i izdaci </w:t>
      </w:r>
      <w:r w:rsidR="00CF7683" w:rsidRPr="000D7C25">
        <w:rPr>
          <w:rFonts w:cstheme="minorHAnsi"/>
          <w:sz w:val="20"/>
          <w:szCs w:val="20"/>
        </w:rPr>
        <w:t xml:space="preserve">u navedenom razdoblju veći za </w:t>
      </w:r>
      <w:r w:rsidR="00F63F14" w:rsidRPr="000D7C25">
        <w:rPr>
          <w:rFonts w:cstheme="minorHAnsi"/>
          <w:sz w:val="20"/>
          <w:szCs w:val="20"/>
        </w:rPr>
        <w:t>97,41</w:t>
      </w:r>
      <w:r w:rsidR="00CF7683" w:rsidRPr="000D7C25">
        <w:rPr>
          <w:rFonts w:cstheme="minorHAnsi"/>
          <w:sz w:val="20"/>
          <w:szCs w:val="20"/>
        </w:rPr>
        <w:t>%</w:t>
      </w:r>
      <w:r w:rsidR="008C0F2D" w:rsidRPr="000D7C25">
        <w:rPr>
          <w:rFonts w:cstheme="minorHAnsi"/>
          <w:sz w:val="20"/>
          <w:szCs w:val="20"/>
        </w:rPr>
        <w:t xml:space="preserve"> u odnosu na isto razdoblje 201</w:t>
      </w:r>
      <w:r w:rsidR="00F63F14" w:rsidRPr="000D7C25">
        <w:rPr>
          <w:rFonts w:cstheme="minorHAnsi"/>
          <w:sz w:val="20"/>
          <w:szCs w:val="20"/>
        </w:rPr>
        <w:t>8</w:t>
      </w:r>
      <w:r w:rsidR="005937E7" w:rsidRPr="000D7C25">
        <w:rPr>
          <w:rFonts w:cstheme="minorHAnsi"/>
          <w:sz w:val="20"/>
          <w:szCs w:val="20"/>
        </w:rPr>
        <w:t xml:space="preserve">. </w:t>
      </w:r>
      <w:r w:rsidR="00CF7683" w:rsidRPr="000D7C25">
        <w:rPr>
          <w:rFonts w:cstheme="minorHAnsi"/>
          <w:sz w:val="20"/>
          <w:szCs w:val="20"/>
        </w:rPr>
        <w:t>g</w:t>
      </w:r>
      <w:r w:rsidR="005937E7" w:rsidRPr="000D7C25">
        <w:rPr>
          <w:rFonts w:cstheme="minorHAnsi"/>
          <w:sz w:val="20"/>
          <w:szCs w:val="20"/>
        </w:rPr>
        <w:t>odi</w:t>
      </w:r>
      <w:r w:rsidR="00CF7683" w:rsidRPr="000D7C25">
        <w:rPr>
          <w:rFonts w:cstheme="minorHAnsi"/>
          <w:sz w:val="20"/>
          <w:szCs w:val="20"/>
        </w:rPr>
        <w:t>ne</w:t>
      </w:r>
      <w:r w:rsidR="00F63F14" w:rsidRPr="000D7C25">
        <w:rPr>
          <w:rFonts w:cstheme="minorHAnsi"/>
          <w:sz w:val="20"/>
          <w:szCs w:val="20"/>
        </w:rPr>
        <w:t>.</w:t>
      </w:r>
      <w:r w:rsidR="00770BF4" w:rsidRPr="000D7C25">
        <w:rPr>
          <w:rFonts w:cstheme="minorHAnsi"/>
          <w:sz w:val="20"/>
          <w:szCs w:val="20"/>
        </w:rPr>
        <w:t xml:space="preserve"> Rashodi  poslovanja povećani su za </w:t>
      </w:r>
      <w:r w:rsidR="00F63F14" w:rsidRPr="000D7C25">
        <w:rPr>
          <w:rFonts w:cstheme="minorHAnsi"/>
          <w:sz w:val="20"/>
          <w:szCs w:val="20"/>
        </w:rPr>
        <w:t>8,83</w:t>
      </w:r>
      <w:r w:rsidR="00770BF4" w:rsidRPr="000D7C25">
        <w:rPr>
          <w:rFonts w:cstheme="minorHAnsi"/>
          <w:sz w:val="20"/>
          <w:szCs w:val="20"/>
        </w:rPr>
        <w:t xml:space="preserve">% dok su rashodi za nabavu nefinancijske imovine  veći za </w:t>
      </w:r>
      <w:r w:rsidR="00F63F14" w:rsidRPr="000D7C25">
        <w:rPr>
          <w:rFonts w:cstheme="minorHAnsi"/>
          <w:sz w:val="20"/>
          <w:szCs w:val="20"/>
        </w:rPr>
        <w:t>557,48</w:t>
      </w:r>
      <w:r w:rsidR="00770BF4" w:rsidRPr="000D7C25">
        <w:rPr>
          <w:rFonts w:cstheme="minorHAnsi"/>
          <w:sz w:val="20"/>
          <w:szCs w:val="20"/>
        </w:rPr>
        <w:t xml:space="preserve">% radi </w:t>
      </w:r>
      <w:r w:rsidR="008143CB" w:rsidRPr="000D7C25">
        <w:rPr>
          <w:rFonts w:ascii="Calibri" w:hAnsi="Calibri" w:cs="Calibri"/>
          <w:sz w:val="20"/>
          <w:szCs w:val="20"/>
        </w:rPr>
        <w:t>nabave nove opreme i namještaja te uređenja uredskih prostorija koje su uslijed poplave oštećene i uništene</w:t>
      </w:r>
      <w:r w:rsidR="000E19E9" w:rsidRPr="000D7C25">
        <w:rPr>
          <w:rFonts w:ascii="Calibri" w:hAnsi="Calibri" w:cs="Calibri"/>
          <w:sz w:val="20"/>
          <w:szCs w:val="20"/>
        </w:rPr>
        <w:t>, projeta rekonstrukcije i modernizacije javne rasvjete na području Općine Stubičke Toplice</w:t>
      </w:r>
      <w:r w:rsidR="008143CB" w:rsidRPr="000D7C25">
        <w:rPr>
          <w:rFonts w:ascii="Calibri" w:hAnsi="Calibri" w:cs="Calibri"/>
          <w:sz w:val="20"/>
          <w:szCs w:val="20"/>
        </w:rPr>
        <w:t xml:space="preserve"> kao</w:t>
      </w:r>
      <w:r w:rsidR="008143CB" w:rsidRPr="000D7C25">
        <w:rPr>
          <w:rFonts w:cstheme="minorHAnsi"/>
          <w:sz w:val="20"/>
          <w:szCs w:val="20"/>
        </w:rPr>
        <w:t xml:space="preserve"> i radi </w:t>
      </w:r>
      <w:r w:rsidR="00770BF4" w:rsidRPr="000D7C25">
        <w:rPr>
          <w:rFonts w:cstheme="minorHAnsi"/>
          <w:sz w:val="20"/>
          <w:szCs w:val="20"/>
        </w:rPr>
        <w:t xml:space="preserve">realizacije projekta izgradnja </w:t>
      </w:r>
      <w:r w:rsidR="00F63F14" w:rsidRPr="000D7C25">
        <w:rPr>
          <w:rFonts w:cstheme="minorHAnsi"/>
          <w:sz w:val="20"/>
          <w:szCs w:val="20"/>
        </w:rPr>
        <w:t>reciklažnog dvorišta i nabava opreme za isto</w:t>
      </w:r>
      <w:r w:rsidR="008143CB" w:rsidRPr="000D7C25">
        <w:rPr>
          <w:rFonts w:cstheme="minorHAnsi"/>
          <w:sz w:val="20"/>
          <w:szCs w:val="20"/>
        </w:rPr>
        <w:t>.</w:t>
      </w:r>
    </w:p>
    <w:p w14:paraId="5188423E" w14:textId="77777777" w:rsidR="00CF7683" w:rsidRPr="000D7C25" w:rsidRDefault="00CF7683" w:rsidP="00CF768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362222E" w14:textId="77777777" w:rsidR="00D9062D" w:rsidRPr="000D7C25" w:rsidRDefault="000D06B4" w:rsidP="009C08AB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D7C25">
        <w:rPr>
          <w:rFonts w:cstheme="minorHAnsi"/>
          <w:b/>
          <w:bCs/>
          <w:sz w:val="20"/>
          <w:szCs w:val="20"/>
        </w:rPr>
        <w:t>REZULTAT POSLOVANJA</w:t>
      </w:r>
    </w:p>
    <w:p w14:paraId="16C640DD" w14:textId="77777777" w:rsidR="007C2C92" w:rsidRPr="000D7C25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5"/>
        <w:gridCol w:w="1416"/>
        <w:gridCol w:w="1409"/>
        <w:gridCol w:w="1409"/>
      </w:tblGrid>
      <w:tr w:rsidR="000D7C25" w:rsidRPr="000D7C25" w14:paraId="68611418" w14:textId="77777777" w:rsidTr="001846BC">
        <w:tc>
          <w:tcPr>
            <w:tcW w:w="3632" w:type="dxa"/>
            <w:shd w:val="clear" w:color="auto" w:fill="B8CCE4" w:themeFill="accent1" w:themeFillTint="66"/>
          </w:tcPr>
          <w:p w14:paraId="4EB32564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49AE55A1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E19E9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4017D555" w14:textId="77777777" w:rsidR="00CF7683" w:rsidRPr="000D7C25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E19E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6D600188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537D2B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1727AE94" w14:textId="77777777" w:rsidR="00CF7683" w:rsidRPr="000D7C25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537D2B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7B91E0E7" w14:textId="77777777" w:rsidTr="001846BC">
        <w:tc>
          <w:tcPr>
            <w:tcW w:w="3632" w:type="dxa"/>
          </w:tcPr>
          <w:p w14:paraId="6F4CBCA0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14:paraId="6DED3325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8.170.826,40</w:t>
            </w:r>
          </w:p>
        </w:tc>
        <w:tc>
          <w:tcPr>
            <w:tcW w:w="1416" w:type="dxa"/>
          </w:tcPr>
          <w:p w14:paraId="3FCFF75F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9.692.313,97</w:t>
            </w:r>
          </w:p>
        </w:tc>
        <w:tc>
          <w:tcPr>
            <w:tcW w:w="1409" w:type="dxa"/>
          </w:tcPr>
          <w:p w14:paraId="2851C4C4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6.781.997,06</w:t>
            </w:r>
          </w:p>
        </w:tc>
        <w:tc>
          <w:tcPr>
            <w:tcW w:w="1409" w:type="dxa"/>
          </w:tcPr>
          <w:p w14:paraId="63F65118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9.478.334,02</w:t>
            </w:r>
          </w:p>
        </w:tc>
      </w:tr>
      <w:tr w:rsidR="000D7C25" w:rsidRPr="000D7C25" w14:paraId="03768FFF" w14:textId="77777777" w:rsidTr="001846BC">
        <w:tc>
          <w:tcPr>
            <w:tcW w:w="3632" w:type="dxa"/>
          </w:tcPr>
          <w:p w14:paraId="266E004C" w14:textId="77777777" w:rsidR="000E19E9" w:rsidRPr="000D7C25" w:rsidRDefault="000E19E9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primici</w:t>
            </w:r>
          </w:p>
        </w:tc>
        <w:tc>
          <w:tcPr>
            <w:tcW w:w="1415" w:type="dxa"/>
          </w:tcPr>
          <w:p w14:paraId="650E192E" w14:textId="77777777" w:rsidR="000E19E9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14:paraId="68E8F50A" w14:textId="77777777" w:rsidR="000E19E9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4C0D8016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CF7A4B5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1.933.316,75</w:t>
            </w:r>
          </w:p>
        </w:tc>
      </w:tr>
      <w:tr w:rsidR="000D7C25" w:rsidRPr="000D7C25" w14:paraId="59951B20" w14:textId="77777777" w:rsidTr="001846BC">
        <w:tc>
          <w:tcPr>
            <w:tcW w:w="3632" w:type="dxa"/>
          </w:tcPr>
          <w:p w14:paraId="767ECDC0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14:paraId="79A82DB7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7.831.600,49</w:t>
            </w:r>
          </w:p>
        </w:tc>
        <w:tc>
          <w:tcPr>
            <w:tcW w:w="1416" w:type="dxa"/>
          </w:tcPr>
          <w:p w14:paraId="43EEC622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11.054.184,31</w:t>
            </w:r>
          </w:p>
        </w:tc>
        <w:tc>
          <w:tcPr>
            <w:tcW w:w="1409" w:type="dxa"/>
          </w:tcPr>
          <w:p w14:paraId="3A33DB8C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6.253.363,84</w:t>
            </w:r>
          </w:p>
        </w:tc>
        <w:tc>
          <w:tcPr>
            <w:tcW w:w="1409" w:type="dxa"/>
          </w:tcPr>
          <w:p w14:paraId="727A517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12.324.791,45</w:t>
            </w:r>
          </w:p>
        </w:tc>
      </w:tr>
      <w:tr w:rsidR="000D7C25" w:rsidRPr="000D7C25" w14:paraId="0FC3B6AF" w14:textId="77777777" w:rsidTr="001846BC">
        <w:tc>
          <w:tcPr>
            <w:tcW w:w="3632" w:type="dxa"/>
          </w:tcPr>
          <w:p w14:paraId="483E780F" w14:textId="77777777" w:rsidR="000E19E9" w:rsidRPr="000D7C25" w:rsidRDefault="000E19E9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izdaci</w:t>
            </w:r>
          </w:p>
        </w:tc>
        <w:tc>
          <w:tcPr>
            <w:tcW w:w="1415" w:type="dxa"/>
          </w:tcPr>
          <w:p w14:paraId="1F90C4B2" w14:textId="77777777" w:rsidR="000E19E9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14:paraId="0FD6B410" w14:textId="77777777" w:rsidR="000E19E9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AC683A8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CB5A68F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20.138,72</w:t>
            </w:r>
          </w:p>
        </w:tc>
      </w:tr>
      <w:tr w:rsidR="000D7C25" w:rsidRPr="000D7C25" w14:paraId="0AF4D298" w14:textId="77777777" w:rsidTr="001846BC">
        <w:tc>
          <w:tcPr>
            <w:tcW w:w="3632" w:type="dxa"/>
          </w:tcPr>
          <w:p w14:paraId="62441F6E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14:paraId="6A76A037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339.225,91</w:t>
            </w:r>
          </w:p>
        </w:tc>
        <w:tc>
          <w:tcPr>
            <w:tcW w:w="1416" w:type="dxa"/>
          </w:tcPr>
          <w:p w14:paraId="63ED5557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-1.361.870,34</w:t>
            </w:r>
          </w:p>
        </w:tc>
        <w:tc>
          <w:tcPr>
            <w:tcW w:w="1409" w:type="dxa"/>
          </w:tcPr>
          <w:p w14:paraId="22EFD202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528.633,22</w:t>
            </w:r>
          </w:p>
        </w:tc>
        <w:tc>
          <w:tcPr>
            <w:tcW w:w="1409" w:type="dxa"/>
          </w:tcPr>
          <w:p w14:paraId="655863A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-933.279,40</w:t>
            </w:r>
          </w:p>
        </w:tc>
      </w:tr>
      <w:tr w:rsidR="000D7C25" w:rsidRPr="000D7C25" w14:paraId="07EBB946" w14:textId="77777777" w:rsidTr="001846BC">
        <w:tc>
          <w:tcPr>
            <w:tcW w:w="3632" w:type="dxa"/>
          </w:tcPr>
          <w:p w14:paraId="6D3FD686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14:paraId="4515D38E" w14:textId="77777777" w:rsidR="00CF7683" w:rsidRPr="000D7C25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-1.</w:t>
            </w:r>
            <w:r w:rsidR="000E19E9" w:rsidRPr="000D7C25">
              <w:rPr>
                <w:rFonts w:cstheme="minorHAnsi"/>
                <w:sz w:val="18"/>
                <w:szCs w:val="18"/>
              </w:rPr>
              <w:t>084.411,72</w:t>
            </w:r>
          </w:p>
        </w:tc>
        <w:tc>
          <w:tcPr>
            <w:tcW w:w="1416" w:type="dxa"/>
          </w:tcPr>
          <w:p w14:paraId="7161D89B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14:paraId="51BFB356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14:paraId="424FBBF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-2.154.376,15</w:t>
            </w:r>
          </w:p>
        </w:tc>
      </w:tr>
      <w:tr w:rsidR="000D7C25" w:rsidRPr="000D7C25" w14:paraId="24E0CA6F" w14:textId="77777777" w:rsidTr="001846BC">
        <w:tc>
          <w:tcPr>
            <w:tcW w:w="3632" w:type="dxa"/>
          </w:tcPr>
          <w:p w14:paraId="792F562B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14:paraId="2809A21D" w14:textId="77777777" w:rsidR="00CF7683" w:rsidRPr="000D7C25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</w:t>
            </w:r>
            <w:r w:rsidR="000E19E9" w:rsidRPr="000D7C25">
              <w:rPr>
                <w:rFonts w:cstheme="minorHAnsi"/>
                <w:sz w:val="18"/>
                <w:szCs w:val="18"/>
              </w:rPr>
              <w:t>792.505,81</w:t>
            </w:r>
          </w:p>
        </w:tc>
        <w:tc>
          <w:tcPr>
            <w:tcW w:w="1416" w:type="dxa"/>
          </w:tcPr>
          <w:p w14:paraId="149CFAFE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-2.154.376,15</w:t>
            </w:r>
          </w:p>
        </w:tc>
        <w:tc>
          <w:tcPr>
            <w:tcW w:w="1409" w:type="dxa"/>
          </w:tcPr>
          <w:p w14:paraId="6555AE8C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-263.872,59</w:t>
            </w:r>
          </w:p>
        </w:tc>
        <w:tc>
          <w:tcPr>
            <w:tcW w:w="1409" w:type="dxa"/>
          </w:tcPr>
          <w:p w14:paraId="23162D9E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-3.087.655,55</w:t>
            </w:r>
          </w:p>
        </w:tc>
      </w:tr>
      <w:tr w:rsidR="000D7C25" w:rsidRPr="000D7C25" w14:paraId="1D5B7B26" w14:textId="77777777" w:rsidTr="001846BC">
        <w:tc>
          <w:tcPr>
            <w:tcW w:w="3632" w:type="dxa"/>
          </w:tcPr>
          <w:p w14:paraId="5EC2DB77" w14:textId="77777777" w:rsidR="00D13F0F" w:rsidRPr="000D7C25" w:rsidRDefault="00D13F0F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Povrat državne potpore iz 2014. godine u državni proračun</w:t>
            </w:r>
          </w:p>
        </w:tc>
        <w:tc>
          <w:tcPr>
            <w:tcW w:w="1415" w:type="dxa"/>
          </w:tcPr>
          <w:p w14:paraId="746A4795" w14:textId="77777777" w:rsidR="00D13F0F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-47.320,00</w:t>
            </w:r>
          </w:p>
        </w:tc>
        <w:tc>
          <w:tcPr>
            <w:tcW w:w="1416" w:type="dxa"/>
          </w:tcPr>
          <w:p w14:paraId="2C4919CA" w14:textId="77777777" w:rsidR="00D13F0F" w:rsidRPr="000D7C25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14:paraId="0B6F1B33" w14:textId="77777777" w:rsidR="00D13F0F" w:rsidRPr="000D7C25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0732B93" w14:textId="77777777" w:rsidR="00D13F0F" w:rsidRPr="000D7C25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12D767B2" w14:textId="77777777" w:rsidR="007C2C92" w:rsidRPr="000D7C25" w:rsidRDefault="007C2C92" w:rsidP="004E384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CB1C67E" w14:textId="77777777" w:rsidR="00F73857" w:rsidRPr="000D7C25" w:rsidRDefault="0044076A" w:rsidP="004E384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Preneseni manjak prihoda i primitaka posljedica je </w:t>
      </w:r>
      <w:r w:rsidR="00AD638B" w:rsidRPr="000D7C25">
        <w:rPr>
          <w:rFonts w:cstheme="minorHAnsi"/>
          <w:sz w:val="20"/>
          <w:szCs w:val="20"/>
        </w:rPr>
        <w:t>slučaj</w:t>
      </w:r>
      <w:r w:rsidR="00FA32E2" w:rsidRPr="000D7C25">
        <w:rPr>
          <w:rFonts w:cstheme="minorHAnsi"/>
          <w:sz w:val="20"/>
          <w:szCs w:val="20"/>
        </w:rPr>
        <w:t>eva</w:t>
      </w:r>
      <w:r w:rsidR="00AD638B" w:rsidRPr="000D7C25">
        <w:rPr>
          <w:rFonts w:cstheme="minorHAnsi"/>
          <w:sz w:val="20"/>
          <w:szCs w:val="20"/>
        </w:rPr>
        <w:t xml:space="preserve"> u kojima je Općina Stubičke Toplice planirala i realizirala provedbu EU projekta za koji je trebala osigurati</w:t>
      </w:r>
      <w:r w:rsidR="00FA32E2" w:rsidRPr="000D7C25">
        <w:rPr>
          <w:rFonts w:cstheme="minorHAnsi"/>
          <w:sz w:val="20"/>
          <w:szCs w:val="20"/>
        </w:rPr>
        <w:t xml:space="preserve"> predfinanciranje iz svojih općih prihoda, a naknadno će dobiti refundaciju sredstava od EU putem provedbenih tijela u Republici Hrvatskoj. Radi se o sljedećim projektima: </w:t>
      </w:r>
    </w:p>
    <w:p w14:paraId="7B18BDC4" w14:textId="77777777" w:rsidR="00FA32E2" w:rsidRPr="000D7C25" w:rsidRDefault="00FA32E2" w:rsidP="004E384E">
      <w:pPr>
        <w:pStyle w:val="Bezproreda"/>
        <w:numPr>
          <w:ilvl w:val="0"/>
          <w:numId w:val="1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>Izgradnja nerazvrstane ceste i rekonstrukcija mosta preko potoka Vidak u Strmcu Stubičkom</w:t>
      </w:r>
    </w:p>
    <w:p w14:paraId="7F34FAEA" w14:textId="77777777" w:rsidR="00FA32E2" w:rsidRPr="000D7C25" w:rsidRDefault="00FA32E2" w:rsidP="004E384E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>Energetska obnova zgrade Osnovne škole Stubičke Toplice</w:t>
      </w:r>
    </w:p>
    <w:p w14:paraId="2E8AE6CF" w14:textId="77777777" w:rsidR="00FA32E2" w:rsidRPr="000D7C25" w:rsidRDefault="00FA32E2" w:rsidP="004E384E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>Izgradnja i opremanje reciklažnog dvorišta</w:t>
      </w:r>
    </w:p>
    <w:p w14:paraId="21C55A29" w14:textId="007CEF4E" w:rsidR="00FA32E2" w:rsidRPr="000D7C25" w:rsidRDefault="00F503E7" w:rsidP="004E384E">
      <w:pPr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Ovakva situacija se  neminovno odrazila na ostvarenje prihoda </w:t>
      </w:r>
      <w:r w:rsidR="00C2641C">
        <w:rPr>
          <w:rFonts w:cstheme="minorHAnsi"/>
          <w:sz w:val="20"/>
          <w:szCs w:val="20"/>
        </w:rPr>
        <w:t xml:space="preserve">odnosno na rezultat poslovanja </w:t>
      </w:r>
      <w:r w:rsidRPr="000D7C25">
        <w:rPr>
          <w:rFonts w:cstheme="minorHAnsi"/>
          <w:sz w:val="20"/>
          <w:szCs w:val="20"/>
        </w:rPr>
        <w:t>Proračuna Općine Stubičke Toplice</w:t>
      </w:r>
      <w:r w:rsidR="00FE0FBE" w:rsidRPr="000D7C25">
        <w:rPr>
          <w:rFonts w:cstheme="minorHAnsi"/>
          <w:sz w:val="20"/>
          <w:szCs w:val="20"/>
        </w:rPr>
        <w:t>. U</w:t>
      </w:r>
      <w:r w:rsidRPr="000D7C25">
        <w:rPr>
          <w:rFonts w:cstheme="minorHAnsi"/>
          <w:sz w:val="20"/>
          <w:szCs w:val="20"/>
        </w:rPr>
        <w:t xml:space="preserve"> 2018. godini završeni </w:t>
      </w:r>
      <w:r w:rsidR="00C2641C">
        <w:rPr>
          <w:rFonts w:cstheme="minorHAnsi"/>
          <w:sz w:val="20"/>
          <w:szCs w:val="20"/>
        </w:rPr>
        <w:t xml:space="preserve">su </w:t>
      </w:r>
      <w:r w:rsidR="004E384E">
        <w:rPr>
          <w:rFonts w:cstheme="minorHAnsi"/>
          <w:sz w:val="20"/>
          <w:szCs w:val="20"/>
        </w:rPr>
        <w:t>projekt</w:t>
      </w:r>
      <w:r w:rsidR="00C2641C">
        <w:rPr>
          <w:rFonts w:cstheme="minorHAnsi"/>
          <w:sz w:val="20"/>
          <w:szCs w:val="20"/>
        </w:rPr>
        <w:t>i</w:t>
      </w:r>
      <w:r w:rsidR="004E384E">
        <w:rPr>
          <w:rFonts w:cstheme="minorHAnsi"/>
          <w:sz w:val="20"/>
          <w:szCs w:val="20"/>
        </w:rPr>
        <w:t xml:space="preserve"> br. 1 i br. 2</w:t>
      </w:r>
      <w:r w:rsidRPr="000D7C25">
        <w:rPr>
          <w:rFonts w:cstheme="minorHAnsi"/>
          <w:sz w:val="20"/>
          <w:szCs w:val="20"/>
        </w:rPr>
        <w:t xml:space="preserve"> za koje je refundacija stigla tijekom 2019. godine, a treći projekt je </w:t>
      </w:r>
      <w:r w:rsidR="00FE0FBE" w:rsidRPr="000D7C25">
        <w:rPr>
          <w:rFonts w:cstheme="minorHAnsi"/>
          <w:sz w:val="20"/>
          <w:szCs w:val="20"/>
        </w:rPr>
        <w:t xml:space="preserve">također završen do 30. rujna 2019. godine, evidentirani su rashodi te je predfinanciran općim prihodima proračuna. </w:t>
      </w:r>
      <w:bookmarkStart w:id="0" w:name="_Hlk24366985"/>
      <w:r w:rsidR="00FE0FBE" w:rsidRPr="000D7C25">
        <w:rPr>
          <w:rFonts w:cstheme="minorHAnsi"/>
          <w:sz w:val="20"/>
          <w:szCs w:val="20"/>
        </w:rPr>
        <w:t xml:space="preserve">Refundacija se očekuje dijelom do kraja 2019. godine, a ostatak u 2020. godini. </w:t>
      </w:r>
      <w:bookmarkEnd w:id="0"/>
    </w:p>
    <w:p w14:paraId="2B208AE5" w14:textId="77777777" w:rsidR="000D06B4" w:rsidRPr="000D7C25" w:rsidRDefault="00FE0FBE" w:rsidP="004E384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U</w:t>
      </w:r>
      <w:r w:rsidR="0044076A" w:rsidRPr="000D7C25">
        <w:rPr>
          <w:rFonts w:cstheme="minorHAnsi"/>
          <w:sz w:val="20"/>
          <w:szCs w:val="20"/>
        </w:rPr>
        <w:t xml:space="preserve">natoč nepovoljnoj </w:t>
      </w:r>
      <w:r w:rsidR="00F503E7" w:rsidRPr="000D7C25">
        <w:rPr>
          <w:rFonts w:cstheme="minorHAnsi"/>
          <w:sz w:val="20"/>
          <w:szCs w:val="20"/>
        </w:rPr>
        <w:t>financijskoj</w:t>
      </w:r>
      <w:r w:rsidR="0044076A" w:rsidRPr="000D7C25">
        <w:rPr>
          <w:rFonts w:cstheme="minorHAnsi"/>
          <w:sz w:val="20"/>
          <w:szCs w:val="20"/>
        </w:rPr>
        <w:t xml:space="preserve"> situaciji, kroz cijelo višegodišnje razdoblje prioritet je bio da se u Proračunu Općine zadrži postignuta razina standarda u području obrazovanja, socijalne skrbi, kulture, sporta, zaštite i spašavanja, zaštite okoliša te  održavanja komunalne infrastrukture.</w:t>
      </w:r>
    </w:p>
    <w:p w14:paraId="545739B3" w14:textId="781FA552" w:rsidR="00551E3C" w:rsidRDefault="0044076A" w:rsidP="00DF15AF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Slijedom navedenog, u proteklim godinama nije bilo dostatnih izvora financiranja da se, uz tekuće proračunske potrebe</w:t>
      </w:r>
      <w:r w:rsidR="00FE0FBE" w:rsidRPr="000D7C25">
        <w:rPr>
          <w:rFonts w:cstheme="minorHAnsi"/>
          <w:sz w:val="20"/>
          <w:szCs w:val="20"/>
        </w:rPr>
        <w:t xml:space="preserve"> te predfinanciranja projekata </w:t>
      </w:r>
      <w:r w:rsidRPr="000D7C25">
        <w:rPr>
          <w:rFonts w:cstheme="minorHAnsi"/>
          <w:sz w:val="20"/>
          <w:szCs w:val="20"/>
        </w:rPr>
        <w:t xml:space="preserve">pokrije i manjak iz prethodnog razdoblja. </w:t>
      </w:r>
    </w:p>
    <w:p w14:paraId="314D58E0" w14:textId="77777777" w:rsidR="00D9062D" w:rsidRPr="000D7C25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lastRenderedPageBreak/>
        <w:t>Prijedlog mjera za otklanjanje uzroka negativnog poslovanja i mjera za stabilno poslovanje</w:t>
      </w:r>
    </w:p>
    <w:p w14:paraId="7F5762D6" w14:textId="77777777" w:rsidR="007C0A03" w:rsidRPr="000D7C25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14:paraId="5677A74C" w14:textId="77777777" w:rsidR="007C0A03" w:rsidRPr="000D7C25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Odlukom o donošenju proračuna </w:t>
      </w:r>
      <w:r w:rsidR="007C0A03" w:rsidRPr="000D7C25">
        <w:rPr>
          <w:rFonts w:cstheme="minorHAnsi"/>
          <w:sz w:val="20"/>
          <w:szCs w:val="20"/>
        </w:rPr>
        <w:t>te izmjenama i dopunama planirati pokriće manjka</w:t>
      </w:r>
    </w:p>
    <w:p w14:paraId="4759FCAE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Kod planiranja i izvršavanja proračuna prioritet imaju zakonske i ugovorne obveze</w:t>
      </w:r>
    </w:p>
    <w:p w14:paraId="623F7288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14:paraId="3719A4A6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Pravovremeno poduzimanje mjera naplate potraživanja</w:t>
      </w:r>
    </w:p>
    <w:p w14:paraId="6DCE3497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14:paraId="1AC47F37" w14:textId="384CAC3C" w:rsidR="009C4103" w:rsidRPr="000D7C25" w:rsidRDefault="00DF15AF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bookmarkStart w:id="1" w:name="_GoBack"/>
      <w:bookmarkEnd w:id="1"/>
      <w:r w:rsidR="009C4103" w:rsidRPr="000D7C25">
        <w:rPr>
          <w:rFonts w:cstheme="minorHAnsi"/>
          <w:sz w:val="20"/>
          <w:szCs w:val="20"/>
        </w:rPr>
        <w:t>pravljanje nekretninama  u vlasništvu općine</w:t>
      </w:r>
    </w:p>
    <w:p w14:paraId="7F512C48" w14:textId="77777777" w:rsidR="006A4432" w:rsidRPr="000D7C25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14:paraId="681CB50C" w14:textId="77777777" w:rsidR="00770BF4" w:rsidRPr="000D7C25" w:rsidRDefault="00770BF4" w:rsidP="000C6DE6">
      <w:pPr>
        <w:pStyle w:val="Bezproreda"/>
        <w:spacing w:line="276" w:lineRule="auto"/>
        <w:rPr>
          <w:rFonts w:cstheme="minorHAnsi"/>
        </w:rPr>
      </w:pPr>
    </w:p>
    <w:p w14:paraId="305A86F8" w14:textId="77777777" w:rsidR="006A4432" w:rsidRPr="000D7C25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</w:t>
      </w:r>
      <w:r w:rsidR="00BA1659" w:rsidRPr="000D7C25">
        <w:rPr>
          <w:rFonts w:cstheme="minorHAnsi"/>
          <w:b/>
          <w:sz w:val="20"/>
          <w:szCs w:val="20"/>
        </w:rPr>
        <w:t>kcijski plan provedbe mjera</w:t>
      </w:r>
    </w:p>
    <w:p w14:paraId="1BF8AA5E" w14:textId="77777777" w:rsidR="00D9062D" w:rsidRPr="000D7C25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0D7C25" w:rsidRPr="000D7C25" w14:paraId="05DFC38E" w14:textId="77777777" w:rsidTr="008A0D3F">
        <w:tc>
          <w:tcPr>
            <w:tcW w:w="3969" w:type="dxa"/>
            <w:shd w:val="clear" w:color="auto" w:fill="EAF1DD" w:themeFill="accent3" w:themeFillTint="33"/>
          </w:tcPr>
          <w:p w14:paraId="2DAC9C8F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14:paraId="51FEED92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14:paraId="3BECC8CA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0D7C25" w:rsidRPr="000D7C25" w14:paraId="2A00725C" w14:textId="77777777" w:rsidTr="008A0D3F">
        <w:tc>
          <w:tcPr>
            <w:tcW w:w="3969" w:type="dxa"/>
          </w:tcPr>
          <w:p w14:paraId="745DCDB7" w14:textId="77777777" w:rsidR="008A0D3F" w:rsidRPr="000D7C25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0D7C25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14:paraId="4DA9C8FC" w14:textId="77777777" w:rsidR="008A0D3F" w:rsidRPr="000D7C25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05904DC8" w14:textId="77777777" w:rsidR="008A0D3F" w:rsidRPr="000D7C25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Proračun</w:t>
            </w:r>
            <w:r w:rsidR="008A0D3F" w:rsidRPr="000D7C25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14:paraId="0C04AA28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15. studenog 201</w:t>
            </w:r>
            <w:r w:rsidR="00F503E7" w:rsidRPr="000D7C25">
              <w:rPr>
                <w:rFonts w:cstheme="minorHAnsi"/>
                <w:sz w:val="20"/>
                <w:szCs w:val="20"/>
              </w:rPr>
              <w:t>9</w:t>
            </w:r>
            <w:r w:rsidRPr="000D7C25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0D7C25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0D7C25" w:rsidRPr="000D7C25" w14:paraId="70B388FC" w14:textId="77777777" w:rsidTr="008A0D3F">
        <w:tc>
          <w:tcPr>
            <w:tcW w:w="3969" w:type="dxa"/>
          </w:tcPr>
          <w:p w14:paraId="6E30053E" w14:textId="77777777" w:rsidR="008A0D3F" w:rsidRPr="000D7C25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14:paraId="434602DA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6FE82B40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0D7C25">
              <w:rPr>
                <w:rFonts w:cstheme="minorHAnsi"/>
                <w:sz w:val="20"/>
                <w:szCs w:val="20"/>
              </w:rPr>
              <w:t>redovne djelatnosti proračunskog</w:t>
            </w:r>
            <w:r w:rsidRPr="000D7C25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14:paraId="38D03016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D17CF5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1F13D6F9" w14:textId="77777777" w:rsidTr="008A0D3F">
        <w:tc>
          <w:tcPr>
            <w:tcW w:w="3969" w:type="dxa"/>
          </w:tcPr>
          <w:p w14:paraId="329B1E6A" w14:textId="77777777" w:rsidR="002A31CB" w:rsidRPr="000D7C25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14:paraId="03EA8D85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5843E5F5" w14:textId="77777777" w:rsidR="008A0D3F" w:rsidRPr="000D7C25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14:paraId="3FD9BC26" w14:textId="77777777" w:rsidR="008A0D3F" w:rsidRPr="000D7C25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0D7C25" w:rsidRPr="000D7C25" w14:paraId="20A56A9A" w14:textId="77777777" w:rsidTr="009C4103">
        <w:trPr>
          <w:trHeight w:val="686"/>
        </w:trPr>
        <w:tc>
          <w:tcPr>
            <w:tcW w:w="3969" w:type="dxa"/>
          </w:tcPr>
          <w:p w14:paraId="572AC7C7" w14:textId="77777777" w:rsidR="002A31CB" w:rsidRPr="000D7C25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14:paraId="1F3EF569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4D5987FF" w14:textId="77777777" w:rsidR="008A0D3F" w:rsidRPr="000D7C25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14:paraId="7EC32D15" w14:textId="77777777" w:rsidR="008A0D3F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144312D4" w14:textId="77777777" w:rsidTr="008A0D3F">
        <w:tc>
          <w:tcPr>
            <w:tcW w:w="3969" w:type="dxa"/>
          </w:tcPr>
          <w:p w14:paraId="04F7660C" w14:textId="77777777" w:rsidR="009C4103" w:rsidRPr="000D7C25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14:paraId="22129482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3DD7F0E8" w14:textId="77777777" w:rsidR="008A0D3F" w:rsidRPr="000D7C25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14:paraId="2041B82B" w14:textId="77777777" w:rsidR="008A0D3F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235DB5C8" w14:textId="77777777" w:rsidTr="009C4103">
        <w:trPr>
          <w:trHeight w:val="1268"/>
        </w:trPr>
        <w:tc>
          <w:tcPr>
            <w:tcW w:w="3969" w:type="dxa"/>
          </w:tcPr>
          <w:p w14:paraId="6C36143F" w14:textId="7EB432F1" w:rsidR="009C4103" w:rsidRPr="000D7C25" w:rsidRDefault="000D7C25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U</w:t>
            </w:r>
            <w:r w:rsidR="009C4103" w:rsidRPr="000D7C25">
              <w:rPr>
                <w:rFonts w:cstheme="minorHAnsi"/>
                <w:sz w:val="20"/>
                <w:szCs w:val="20"/>
              </w:rPr>
              <w:t>pravljanje nekretninama  u vlasništvu općine</w:t>
            </w:r>
          </w:p>
          <w:p w14:paraId="71B3AECB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5458FF8" w14:textId="76CEE47B" w:rsidR="008A0D3F" w:rsidRPr="000D7C25" w:rsidRDefault="000D7C25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U</w:t>
            </w:r>
            <w:r w:rsidR="009C4103" w:rsidRPr="000D7C25">
              <w:rPr>
                <w:rFonts w:cstheme="minorHAnsi"/>
                <w:sz w:val="20"/>
                <w:szCs w:val="20"/>
              </w:rPr>
              <w:t>činkovito raspolaganje nekretninama (zakup, najam, prodaja)</w:t>
            </w:r>
          </w:p>
        </w:tc>
        <w:tc>
          <w:tcPr>
            <w:tcW w:w="1680" w:type="dxa"/>
          </w:tcPr>
          <w:p w14:paraId="28B0D810" w14:textId="77777777" w:rsidR="009C4103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Tijekom </w:t>
            </w:r>
            <w:r w:rsidR="00F503E7" w:rsidRPr="000D7C25">
              <w:rPr>
                <w:rFonts w:cstheme="minorHAnsi"/>
                <w:sz w:val="20"/>
                <w:szCs w:val="20"/>
              </w:rPr>
              <w:t>2020.</w:t>
            </w:r>
            <w:r w:rsidRPr="000D7C25">
              <w:rPr>
                <w:rFonts w:cstheme="minorHAnsi"/>
                <w:sz w:val="20"/>
                <w:szCs w:val="20"/>
              </w:rPr>
              <w:t xml:space="preserve"> godine</w:t>
            </w:r>
            <w:r w:rsidR="009B693B" w:rsidRPr="000D7C25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C4103" w:rsidRPr="000D7C25" w14:paraId="7F6666CF" w14:textId="77777777" w:rsidTr="008A0D3F">
        <w:tc>
          <w:tcPr>
            <w:tcW w:w="3969" w:type="dxa"/>
          </w:tcPr>
          <w:p w14:paraId="5D137692" w14:textId="77777777" w:rsidR="009C4103" w:rsidRPr="000D7C25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lastRenderedPageBreak/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14:paraId="4EB8B2BA" w14:textId="77777777" w:rsidR="009C4103" w:rsidRPr="000D7C25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14:paraId="1EAD74CC" w14:textId="77777777" w:rsidR="009C4103" w:rsidRPr="000D7C25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14:paraId="168315F4" w14:textId="77777777" w:rsidR="008A0D3F" w:rsidRPr="000D7C25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DEDE3C5" w14:textId="77777777" w:rsidR="009C4103" w:rsidRPr="000D7C25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6A47C3E5" w14:textId="77777777" w:rsidR="009C4103" w:rsidRPr="000D7C25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Odgovorna osoba za provedbu akcijskog plana</w:t>
      </w:r>
      <w:r w:rsidR="009C08AB" w:rsidRPr="000D7C25">
        <w:rPr>
          <w:rFonts w:cstheme="minorHAnsi"/>
          <w:sz w:val="20"/>
          <w:szCs w:val="20"/>
        </w:rPr>
        <w:t xml:space="preserve"> je načelnik.</w:t>
      </w:r>
      <w:r w:rsidRPr="000D7C25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F503E7" w:rsidRPr="000D7C25">
        <w:rPr>
          <w:rFonts w:cstheme="minorHAnsi"/>
          <w:sz w:val="20"/>
          <w:szCs w:val="20"/>
        </w:rPr>
        <w:t>1.0</w:t>
      </w:r>
      <w:r w:rsidR="005D61A6" w:rsidRPr="000D7C25">
        <w:rPr>
          <w:rFonts w:cstheme="minorHAnsi"/>
          <w:sz w:val="20"/>
          <w:szCs w:val="20"/>
        </w:rPr>
        <w:t>00</w:t>
      </w:r>
      <w:r w:rsidRPr="000D7C25">
        <w:rPr>
          <w:rFonts w:cstheme="minorHAnsi"/>
          <w:sz w:val="20"/>
          <w:szCs w:val="20"/>
        </w:rPr>
        <w:t>.000,00</w:t>
      </w:r>
      <w:r w:rsidR="00BA1659" w:rsidRPr="000D7C25">
        <w:rPr>
          <w:rFonts w:cstheme="minorHAnsi"/>
          <w:sz w:val="20"/>
          <w:szCs w:val="20"/>
        </w:rPr>
        <w:t xml:space="preserve"> </w:t>
      </w:r>
      <w:r w:rsidRPr="000D7C25">
        <w:rPr>
          <w:rFonts w:cstheme="minorHAnsi"/>
          <w:sz w:val="20"/>
          <w:szCs w:val="20"/>
        </w:rPr>
        <w:t>kn, odnosno pokriće planiranog manjka prihoda i primitaka u razdoblju 20</w:t>
      </w:r>
      <w:r w:rsidR="00F503E7" w:rsidRPr="000D7C25">
        <w:rPr>
          <w:rFonts w:cstheme="minorHAnsi"/>
          <w:sz w:val="20"/>
          <w:szCs w:val="20"/>
        </w:rPr>
        <w:t>20</w:t>
      </w:r>
      <w:r w:rsidRPr="000D7C25">
        <w:rPr>
          <w:rFonts w:cstheme="minorHAnsi"/>
          <w:sz w:val="20"/>
          <w:szCs w:val="20"/>
        </w:rPr>
        <w:t>. – 202</w:t>
      </w:r>
      <w:r w:rsidR="00F503E7" w:rsidRPr="000D7C25">
        <w:rPr>
          <w:rFonts w:cstheme="minorHAnsi"/>
          <w:sz w:val="20"/>
          <w:szCs w:val="20"/>
        </w:rPr>
        <w:t>2</w:t>
      </w:r>
      <w:r w:rsidRPr="000D7C25">
        <w:rPr>
          <w:rFonts w:cstheme="minorHAnsi"/>
          <w:sz w:val="20"/>
          <w:szCs w:val="20"/>
        </w:rPr>
        <w:t>. godine.</w:t>
      </w:r>
    </w:p>
    <w:p w14:paraId="5E332565" w14:textId="77777777" w:rsidR="00D9062D" w:rsidRPr="000D7C25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B2E8189" w14:textId="77777777" w:rsidR="00D9062D" w:rsidRPr="000D7C25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722C498C" w14:textId="77777777" w:rsidR="00D9062D" w:rsidRPr="000D7C25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280E658A" w14:textId="77777777" w:rsidR="00B0207D" w:rsidRPr="000D7C25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Općinski načelnik</w:t>
      </w:r>
    </w:p>
    <w:p w14:paraId="4B5A2557" w14:textId="77777777" w:rsidR="00B0207D" w:rsidRPr="000D7C25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Josip Beljak, dipl. ing. agr.</w:t>
      </w:r>
    </w:p>
    <w:p w14:paraId="5C575C03" w14:textId="77777777" w:rsidR="001427FC" w:rsidRPr="000D7C25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1E71BE07" w14:textId="77777777" w:rsidR="001427FC" w:rsidRPr="000D7C25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0C93CB58" w14:textId="77777777" w:rsidR="00AD0EA7" w:rsidRPr="000D7C25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1CEC964F" w14:textId="77777777" w:rsidR="00AD0EA7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3B4F160A" w14:textId="77777777" w:rsidR="00AD0EA7" w:rsidRPr="00904200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640D4018" w14:textId="77777777"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3C88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36532BEF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B4CD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D693914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CC1"/>
    <w:multiLevelType w:val="hybridMultilevel"/>
    <w:tmpl w:val="811A4032"/>
    <w:lvl w:ilvl="0" w:tplc="0A00E34A">
      <w:start w:val="1"/>
      <w:numFmt w:val="decimal"/>
      <w:lvlText w:val="%1."/>
      <w:lvlJc w:val="left"/>
      <w:pPr>
        <w:ind w:left="1428" w:hanging="360"/>
      </w:pPr>
      <w:rPr>
        <w:rFonts w:ascii="Calibri" w:eastAsiaTheme="minorHAnsi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2941"/>
    <w:multiLevelType w:val="hybridMultilevel"/>
    <w:tmpl w:val="A8EABC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2946"/>
    <w:rsid w:val="00074E14"/>
    <w:rsid w:val="000A2BB9"/>
    <w:rsid w:val="000A4549"/>
    <w:rsid w:val="000C6DE6"/>
    <w:rsid w:val="000D06B4"/>
    <w:rsid w:val="000D7C25"/>
    <w:rsid w:val="000E0BB8"/>
    <w:rsid w:val="000E19E9"/>
    <w:rsid w:val="000E4026"/>
    <w:rsid w:val="000F0E0B"/>
    <w:rsid w:val="00102023"/>
    <w:rsid w:val="00106941"/>
    <w:rsid w:val="001340DB"/>
    <w:rsid w:val="001427FC"/>
    <w:rsid w:val="00162727"/>
    <w:rsid w:val="00165F3F"/>
    <w:rsid w:val="001A1A59"/>
    <w:rsid w:val="001A347D"/>
    <w:rsid w:val="001C51A0"/>
    <w:rsid w:val="001D4FAB"/>
    <w:rsid w:val="001E3F71"/>
    <w:rsid w:val="001E640A"/>
    <w:rsid w:val="001F3D69"/>
    <w:rsid w:val="0020412E"/>
    <w:rsid w:val="00220157"/>
    <w:rsid w:val="0025255B"/>
    <w:rsid w:val="00294622"/>
    <w:rsid w:val="002A31CB"/>
    <w:rsid w:val="002B61DC"/>
    <w:rsid w:val="002C7C22"/>
    <w:rsid w:val="002D1395"/>
    <w:rsid w:val="003372AA"/>
    <w:rsid w:val="0036496D"/>
    <w:rsid w:val="00395421"/>
    <w:rsid w:val="00395C1D"/>
    <w:rsid w:val="00396E6A"/>
    <w:rsid w:val="003C7D51"/>
    <w:rsid w:val="003D3222"/>
    <w:rsid w:val="00403302"/>
    <w:rsid w:val="00420325"/>
    <w:rsid w:val="00430944"/>
    <w:rsid w:val="00435856"/>
    <w:rsid w:val="0044076A"/>
    <w:rsid w:val="00454AB6"/>
    <w:rsid w:val="00493BA5"/>
    <w:rsid w:val="004B511F"/>
    <w:rsid w:val="004B5F5A"/>
    <w:rsid w:val="004B66EA"/>
    <w:rsid w:val="004E384E"/>
    <w:rsid w:val="00502540"/>
    <w:rsid w:val="00520400"/>
    <w:rsid w:val="0052557C"/>
    <w:rsid w:val="00537D2B"/>
    <w:rsid w:val="00551E3C"/>
    <w:rsid w:val="005937E7"/>
    <w:rsid w:val="005D61A6"/>
    <w:rsid w:val="005E3C10"/>
    <w:rsid w:val="005E57FC"/>
    <w:rsid w:val="006A4432"/>
    <w:rsid w:val="006A5FDD"/>
    <w:rsid w:val="006B7A29"/>
    <w:rsid w:val="006E36F4"/>
    <w:rsid w:val="006F2634"/>
    <w:rsid w:val="00724929"/>
    <w:rsid w:val="00740A52"/>
    <w:rsid w:val="00763371"/>
    <w:rsid w:val="00770BF4"/>
    <w:rsid w:val="00772549"/>
    <w:rsid w:val="00775B87"/>
    <w:rsid w:val="007C0A03"/>
    <w:rsid w:val="007C2C92"/>
    <w:rsid w:val="007D33AE"/>
    <w:rsid w:val="00813BFE"/>
    <w:rsid w:val="008143CB"/>
    <w:rsid w:val="008263CE"/>
    <w:rsid w:val="00883C03"/>
    <w:rsid w:val="008A0D3F"/>
    <w:rsid w:val="008A73D2"/>
    <w:rsid w:val="008C0F2D"/>
    <w:rsid w:val="008C32A0"/>
    <w:rsid w:val="00904200"/>
    <w:rsid w:val="0091419E"/>
    <w:rsid w:val="009642B7"/>
    <w:rsid w:val="00977CC5"/>
    <w:rsid w:val="00984D9E"/>
    <w:rsid w:val="00992D6C"/>
    <w:rsid w:val="009958AA"/>
    <w:rsid w:val="009B693B"/>
    <w:rsid w:val="009C08AB"/>
    <w:rsid w:val="009C4103"/>
    <w:rsid w:val="009E3121"/>
    <w:rsid w:val="009F75FD"/>
    <w:rsid w:val="00AB0597"/>
    <w:rsid w:val="00AD0EA7"/>
    <w:rsid w:val="00AD638B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2641C"/>
    <w:rsid w:val="00C34834"/>
    <w:rsid w:val="00C7092F"/>
    <w:rsid w:val="00C77616"/>
    <w:rsid w:val="00CA1472"/>
    <w:rsid w:val="00CB224F"/>
    <w:rsid w:val="00CC63C0"/>
    <w:rsid w:val="00CF1AFE"/>
    <w:rsid w:val="00CF7683"/>
    <w:rsid w:val="00D13F0F"/>
    <w:rsid w:val="00D164BF"/>
    <w:rsid w:val="00D170AA"/>
    <w:rsid w:val="00D525A9"/>
    <w:rsid w:val="00D6162F"/>
    <w:rsid w:val="00D731EA"/>
    <w:rsid w:val="00D9062D"/>
    <w:rsid w:val="00DB0A85"/>
    <w:rsid w:val="00DF15AF"/>
    <w:rsid w:val="00E72690"/>
    <w:rsid w:val="00E76EB7"/>
    <w:rsid w:val="00EA792A"/>
    <w:rsid w:val="00EE6B7F"/>
    <w:rsid w:val="00F06E08"/>
    <w:rsid w:val="00F36B69"/>
    <w:rsid w:val="00F503E7"/>
    <w:rsid w:val="00F63F14"/>
    <w:rsid w:val="00F73857"/>
    <w:rsid w:val="00FA047A"/>
    <w:rsid w:val="00FA32E2"/>
    <w:rsid w:val="00FC3FD0"/>
    <w:rsid w:val="00FC7642"/>
    <w:rsid w:val="00FD2A7E"/>
    <w:rsid w:val="00FE0FB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202"/>
  <w15:docId w15:val="{76111B62-110C-4CC6-9345-EC334E9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34</cp:revision>
  <cp:lastPrinted>2019-11-12T11:30:00Z</cp:lastPrinted>
  <dcterms:created xsi:type="dcterms:W3CDTF">2017-11-15T07:52:00Z</dcterms:created>
  <dcterms:modified xsi:type="dcterms:W3CDTF">2019-11-12T11:35:00Z</dcterms:modified>
</cp:coreProperties>
</file>