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350EF4" w:rsidRPr="00AF4214" w14:paraId="35F2DF0F" w14:textId="77777777" w:rsidTr="007E6112">
        <w:tc>
          <w:tcPr>
            <w:tcW w:w="0" w:type="auto"/>
            <w:vAlign w:val="center"/>
          </w:tcPr>
          <w:p w14:paraId="43040543" w14:textId="77777777" w:rsidR="00350EF4" w:rsidRPr="00AF4214" w:rsidRDefault="00350EF4" w:rsidP="007E6112">
            <w:pPr>
              <w:jc w:val="center"/>
              <w:rPr>
                <w:rFonts w:cstheme="minorHAnsi"/>
              </w:rPr>
            </w:pPr>
            <w:r w:rsidRPr="00AF4214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A01CDA5" wp14:editId="623B17C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AA3A6" w14:textId="77777777" w:rsidR="00350EF4" w:rsidRPr="00AF4214" w:rsidRDefault="00350EF4" w:rsidP="007E6112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2674D5A6" w14:textId="77777777" w:rsidR="00350EF4" w:rsidRPr="00AF4214" w:rsidRDefault="00350EF4" w:rsidP="007E6112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34F993" w14:textId="77777777" w:rsidR="00350EF4" w:rsidRPr="00AF4214" w:rsidRDefault="00350EF4" w:rsidP="007E6112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A57660D" w14:textId="77777777" w:rsidR="00350EF4" w:rsidRPr="00AF4214" w:rsidRDefault="00350EF4" w:rsidP="007E6112">
            <w:pPr>
              <w:jc w:val="center"/>
              <w:rPr>
                <w:rFonts w:cstheme="minorHAnsi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JEDINSTVENI UPRAVNI ODJEL</w:t>
            </w:r>
          </w:p>
        </w:tc>
      </w:tr>
    </w:tbl>
    <w:p w14:paraId="4164103A" w14:textId="77777777" w:rsidR="003F74DB" w:rsidRPr="00AF4214" w:rsidRDefault="003F74DB" w:rsidP="008C2AE9">
      <w:pPr>
        <w:spacing w:after="0"/>
        <w:ind w:firstLine="708"/>
        <w:jc w:val="both"/>
        <w:rPr>
          <w:rFonts w:cstheme="minorHAnsi"/>
        </w:rPr>
      </w:pPr>
    </w:p>
    <w:p w14:paraId="36CF4961" w14:textId="78CA78F8" w:rsidR="00264258" w:rsidRPr="00AF4214" w:rsidRDefault="00350EF4" w:rsidP="008C2AE9">
      <w:pPr>
        <w:spacing w:after="0"/>
        <w:ind w:firstLine="708"/>
        <w:jc w:val="both"/>
        <w:rPr>
          <w:rFonts w:cstheme="minorHAnsi"/>
        </w:rPr>
      </w:pPr>
      <w:r w:rsidRPr="00AF4214">
        <w:rPr>
          <w:rFonts w:cstheme="minorHAnsi"/>
        </w:rPr>
        <w:t>KLASA:36</w:t>
      </w:r>
      <w:r w:rsidR="00CB0D93">
        <w:rPr>
          <w:rFonts w:cstheme="minorHAnsi"/>
        </w:rPr>
        <w:t>3</w:t>
      </w:r>
      <w:r w:rsidRPr="00AF4214">
        <w:rPr>
          <w:rFonts w:cstheme="minorHAnsi"/>
        </w:rPr>
        <w:t>-01/</w:t>
      </w:r>
      <w:r w:rsidR="0051217A">
        <w:rPr>
          <w:rFonts w:cstheme="minorHAnsi"/>
        </w:rPr>
        <w:t>20</w:t>
      </w:r>
      <w:r w:rsidRPr="00AF4214">
        <w:rPr>
          <w:rFonts w:cstheme="minorHAnsi"/>
        </w:rPr>
        <w:t>-01/</w:t>
      </w:r>
      <w:r w:rsidR="00DD5753">
        <w:rPr>
          <w:rFonts w:cstheme="minorHAnsi"/>
        </w:rPr>
        <w:t>77</w:t>
      </w:r>
    </w:p>
    <w:p w14:paraId="493ECC94" w14:textId="135308E2" w:rsidR="00350EF4" w:rsidRPr="00AF4214" w:rsidRDefault="00350EF4" w:rsidP="008C2AE9">
      <w:pPr>
        <w:spacing w:after="0"/>
        <w:ind w:firstLine="708"/>
        <w:jc w:val="both"/>
        <w:rPr>
          <w:rFonts w:cstheme="minorHAnsi"/>
        </w:rPr>
      </w:pPr>
      <w:r w:rsidRPr="00AF4214">
        <w:rPr>
          <w:rFonts w:cstheme="minorHAnsi"/>
        </w:rPr>
        <w:t>URBROJ: 2113/03-04-</w:t>
      </w:r>
      <w:r w:rsidR="0051217A">
        <w:rPr>
          <w:rFonts w:cstheme="minorHAnsi"/>
        </w:rPr>
        <w:t>20</w:t>
      </w:r>
      <w:r w:rsidRPr="00AF4214">
        <w:rPr>
          <w:rFonts w:cstheme="minorHAnsi"/>
        </w:rPr>
        <w:t>-</w:t>
      </w:r>
      <w:r w:rsidR="00DB6E57">
        <w:rPr>
          <w:rFonts w:cstheme="minorHAnsi"/>
        </w:rPr>
        <w:t>2</w:t>
      </w:r>
    </w:p>
    <w:p w14:paraId="093B2867" w14:textId="2A23B95B" w:rsidR="00350EF4" w:rsidRPr="00AF4214" w:rsidRDefault="00350EF4" w:rsidP="008C2AE9">
      <w:pPr>
        <w:spacing w:after="0"/>
        <w:ind w:firstLine="708"/>
        <w:jc w:val="both"/>
        <w:rPr>
          <w:rFonts w:cstheme="minorHAnsi"/>
        </w:rPr>
      </w:pPr>
      <w:r w:rsidRPr="00AF4214">
        <w:rPr>
          <w:rFonts w:cstheme="minorHAnsi"/>
        </w:rPr>
        <w:t>Stubičke Toplice,</w:t>
      </w:r>
      <w:r w:rsidR="00AF4214" w:rsidRPr="00AF4214">
        <w:rPr>
          <w:rFonts w:cstheme="minorHAnsi"/>
        </w:rPr>
        <w:t xml:space="preserve"> </w:t>
      </w:r>
      <w:r w:rsidR="00DB6E57">
        <w:rPr>
          <w:rFonts w:cstheme="minorHAnsi"/>
        </w:rPr>
        <w:t>02.12</w:t>
      </w:r>
      <w:r w:rsidRPr="00AF4214">
        <w:rPr>
          <w:rFonts w:cstheme="minorHAnsi"/>
        </w:rPr>
        <w:t>.20</w:t>
      </w:r>
      <w:r w:rsidR="0051217A">
        <w:rPr>
          <w:rFonts w:cstheme="minorHAnsi"/>
        </w:rPr>
        <w:t>20</w:t>
      </w:r>
      <w:r w:rsidRPr="00AF4214">
        <w:rPr>
          <w:rFonts w:cstheme="minorHAnsi"/>
        </w:rPr>
        <w:t>.</w:t>
      </w:r>
    </w:p>
    <w:p w14:paraId="3D89BAB4" w14:textId="77777777" w:rsidR="00350EF4" w:rsidRPr="00AF4214" w:rsidRDefault="00350EF4" w:rsidP="00E701A1">
      <w:pPr>
        <w:jc w:val="both"/>
        <w:rPr>
          <w:rFonts w:cstheme="minorHAnsi"/>
        </w:rPr>
      </w:pPr>
    </w:p>
    <w:p w14:paraId="67CC6993" w14:textId="77777777" w:rsidR="003F74DB" w:rsidRPr="00AF4214" w:rsidRDefault="003F74DB" w:rsidP="003F74DB">
      <w:pPr>
        <w:pStyle w:val="Naglaencitat"/>
        <w:pBdr>
          <w:bottom w:val="none" w:sz="0" w:space="0" w:color="auto"/>
        </w:pBdr>
        <w:rPr>
          <w:rFonts w:cstheme="minorHAnsi"/>
          <w:b/>
          <w:color w:val="auto"/>
          <w:sz w:val="28"/>
          <w:szCs w:val="24"/>
        </w:rPr>
      </w:pPr>
      <w:bookmarkStart w:id="0" w:name="_Toc504396510"/>
      <w:bookmarkStart w:id="1" w:name="_Toc504396522"/>
      <w:r w:rsidRPr="00AF4214">
        <w:rPr>
          <w:rFonts w:cstheme="minorHAnsi"/>
          <w:b/>
          <w:color w:val="auto"/>
          <w:sz w:val="28"/>
          <w:szCs w:val="24"/>
        </w:rPr>
        <w:t>DOKUMENTACIJA O NABAVI</w:t>
      </w:r>
      <w:bookmarkEnd w:id="0"/>
      <w:bookmarkEnd w:id="1"/>
    </w:p>
    <w:p w14:paraId="27FB129B" w14:textId="77777777" w:rsidR="006376CB" w:rsidRDefault="003F74DB" w:rsidP="003F74DB">
      <w:pPr>
        <w:pStyle w:val="Naglaencitat"/>
        <w:pBdr>
          <w:bottom w:val="none" w:sz="0" w:space="0" w:color="auto"/>
        </w:pBdr>
        <w:spacing w:after="0"/>
        <w:rPr>
          <w:rFonts w:cstheme="minorHAnsi"/>
          <w:b/>
          <w:color w:val="auto"/>
          <w:sz w:val="28"/>
          <w:szCs w:val="24"/>
        </w:rPr>
      </w:pPr>
      <w:bookmarkStart w:id="2" w:name="_Toc504396511"/>
      <w:bookmarkStart w:id="3" w:name="_Toc504396523"/>
      <w:r w:rsidRPr="00AF4214">
        <w:rPr>
          <w:rFonts w:cstheme="minorHAnsi"/>
          <w:b/>
          <w:color w:val="auto"/>
          <w:sz w:val="28"/>
          <w:szCs w:val="24"/>
        </w:rPr>
        <w:t>u postupku jednostavne nabave</w:t>
      </w:r>
    </w:p>
    <w:p w14:paraId="660594DB" w14:textId="77777777" w:rsidR="003F74DB" w:rsidRPr="00AF4214" w:rsidRDefault="003F74DB" w:rsidP="006376CB">
      <w:pPr>
        <w:pStyle w:val="Naglaencitat"/>
        <w:pBdr>
          <w:bottom w:val="none" w:sz="0" w:space="0" w:color="auto"/>
        </w:pBdr>
        <w:spacing w:before="0" w:after="0"/>
        <w:rPr>
          <w:rFonts w:cstheme="minorHAnsi"/>
          <w:b/>
          <w:color w:val="auto"/>
          <w:sz w:val="28"/>
          <w:szCs w:val="24"/>
        </w:rPr>
      </w:pPr>
      <w:r w:rsidRPr="00AF4214">
        <w:rPr>
          <w:rFonts w:cstheme="minorHAnsi"/>
          <w:b/>
          <w:color w:val="auto"/>
          <w:sz w:val="28"/>
          <w:szCs w:val="24"/>
        </w:rPr>
        <w:t xml:space="preserve"> </w:t>
      </w:r>
    </w:p>
    <w:bookmarkEnd w:id="2"/>
    <w:bookmarkEnd w:id="3"/>
    <w:p w14:paraId="7F2C7982" w14:textId="5D87455B" w:rsidR="00350EF4" w:rsidRDefault="00F919A0" w:rsidP="00812C31">
      <w:pPr>
        <w:pBdr>
          <w:bottom w:val="single" w:sz="4" w:space="1" w:color="auto"/>
        </w:pBdr>
        <w:jc w:val="center"/>
        <w:rPr>
          <w:rFonts w:eastAsia="Times New Roman" w:cstheme="minorHAnsi"/>
          <w:b/>
          <w:i/>
          <w:iCs/>
          <w:noProof/>
          <w:sz w:val="28"/>
          <w:szCs w:val="24"/>
        </w:rPr>
      </w:pPr>
      <w:r w:rsidRPr="00F919A0">
        <w:rPr>
          <w:rFonts w:eastAsia="Times New Roman" w:cstheme="minorHAnsi"/>
          <w:b/>
          <w:i/>
          <w:iCs/>
          <w:noProof/>
          <w:sz w:val="28"/>
          <w:szCs w:val="24"/>
        </w:rPr>
        <w:t>USLUGE OPSKRBE ELEKTRIČNOM ENERGIJOM U 202</w:t>
      </w:r>
      <w:r w:rsidR="0051217A">
        <w:rPr>
          <w:rFonts w:eastAsia="Times New Roman" w:cstheme="minorHAnsi"/>
          <w:b/>
          <w:i/>
          <w:iCs/>
          <w:noProof/>
          <w:sz w:val="28"/>
          <w:szCs w:val="24"/>
        </w:rPr>
        <w:t>1</w:t>
      </w:r>
      <w:r w:rsidRPr="00F919A0">
        <w:rPr>
          <w:rFonts w:eastAsia="Times New Roman" w:cstheme="minorHAnsi"/>
          <w:b/>
          <w:i/>
          <w:iCs/>
          <w:noProof/>
          <w:sz w:val="28"/>
          <w:szCs w:val="24"/>
        </w:rPr>
        <w:t>. GODINI</w:t>
      </w:r>
    </w:p>
    <w:p w14:paraId="683E7C44" w14:textId="77777777" w:rsidR="00812C31" w:rsidRPr="00AF4214" w:rsidRDefault="00812C31" w:rsidP="00812C31">
      <w:pPr>
        <w:pBdr>
          <w:bottom w:val="single" w:sz="4" w:space="1" w:color="auto"/>
        </w:pBdr>
        <w:jc w:val="center"/>
        <w:rPr>
          <w:rFonts w:cstheme="minorHAnsi"/>
        </w:rPr>
      </w:pPr>
    </w:p>
    <w:p w14:paraId="40322946" w14:textId="77777777" w:rsidR="00350EF4" w:rsidRPr="00AF4214" w:rsidRDefault="00350EF4" w:rsidP="00E701A1">
      <w:pPr>
        <w:jc w:val="both"/>
        <w:rPr>
          <w:rFonts w:cstheme="minorHAnsi"/>
        </w:rPr>
      </w:pPr>
    </w:p>
    <w:p w14:paraId="5F6643D6" w14:textId="77777777" w:rsidR="00350EF4" w:rsidRPr="00AF4214" w:rsidRDefault="00350EF4" w:rsidP="00E701A1">
      <w:pPr>
        <w:jc w:val="both"/>
        <w:rPr>
          <w:rFonts w:cstheme="minorHAnsi"/>
        </w:rPr>
      </w:pPr>
    </w:p>
    <w:p w14:paraId="714547AC" w14:textId="77777777" w:rsidR="00350EF4" w:rsidRPr="00AF4214" w:rsidRDefault="00350EF4" w:rsidP="00E701A1">
      <w:pPr>
        <w:jc w:val="both"/>
        <w:rPr>
          <w:rFonts w:cstheme="minorHAnsi"/>
        </w:rPr>
      </w:pPr>
    </w:p>
    <w:p w14:paraId="09DB9703" w14:textId="77777777" w:rsidR="00350EF4" w:rsidRPr="00AF4214" w:rsidRDefault="00350EF4" w:rsidP="00E701A1">
      <w:pPr>
        <w:jc w:val="both"/>
        <w:rPr>
          <w:rFonts w:cstheme="minorHAnsi"/>
        </w:rPr>
      </w:pPr>
    </w:p>
    <w:p w14:paraId="483CF594" w14:textId="77777777" w:rsidR="00350EF4" w:rsidRPr="00AF4214" w:rsidRDefault="00350EF4" w:rsidP="00E701A1">
      <w:pPr>
        <w:jc w:val="both"/>
        <w:rPr>
          <w:rFonts w:cstheme="minorHAnsi"/>
        </w:rPr>
      </w:pPr>
    </w:p>
    <w:p w14:paraId="65A5FE0A" w14:textId="77777777" w:rsidR="00350EF4" w:rsidRPr="00AF4214" w:rsidRDefault="00350EF4" w:rsidP="00E701A1">
      <w:pPr>
        <w:jc w:val="both"/>
        <w:rPr>
          <w:rFonts w:cstheme="minorHAnsi"/>
        </w:rPr>
      </w:pPr>
    </w:p>
    <w:p w14:paraId="2C0FA638" w14:textId="77777777" w:rsidR="00350EF4" w:rsidRPr="00AF4214" w:rsidRDefault="00350EF4" w:rsidP="00E701A1">
      <w:pPr>
        <w:jc w:val="both"/>
        <w:rPr>
          <w:rFonts w:cstheme="minorHAnsi"/>
        </w:rPr>
      </w:pPr>
    </w:p>
    <w:p w14:paraId="6F686AFD" w14:textId="77777777" w:rsidR="00350EF4" w:rsidRPr="00AF4214" w:rsidRDefault="00350EF4" w:rsidP="00E701A1">
      <w:pPr>
        <w:jc w:val="both"/>
        <w:rPr>
          <w:rFonts w:cstheme="minorHAnsi"/>
        </w:rPr>
      </w:pPr>
    </w:p>
    <w:p w14:paraId="13DD520A" w14:textId="77777777" w:rsidR="00350EF4" w:rsidRPr="00AF4214" w:rsidRDefault="00350EF4" w:rsidP="00E701A1">
      <w:pPr>
        <w:jc w:val="both"/>
        <w:rPr>
          <w:rFonts w:cstheme="minorHAnsi"/>
        </w:rPr>
      </w:pPr>
    </w:p>
    <w:p w14:paraId="2CA1134A" w14:textId="77777777" w:rsidR="00350EF4" w:rsidRPr="00AF4214" w:rsidRDefault="00350EF4" w:rsidP="00E701A1">
      <w:pPr>
        <w:jc w:val="both"/>
        <w:rPr>
          <w:rFonts w:cstheme="minorHAnsi"/>
        </w:rPr>
      </w:pPr>
    </w:p>
    <w:p w14:paraId="3A6DC690" w14:textId="77777777" w:rsidR="00350EF4" w:rsidRPr="00AF4214" w:rsidRDefault="00350EF4" w:rsidP="00E701A1">
      <w:pPr>
        <w:jc w:val="both"/>
        <w:rPr>
          <w:rFonts w:cstheme="minorHAnsi"/>
        </w:rPr>
      </w:pPr>
    </w:p>
    <w:p w14:paraId="2067637F" w14:textId="77777777" w:rsidR="009000E9" w:rsidRPr="00AF4214" w:rsidRDefault="009000E9" w:rsidP="00E701A1">
      <w:pPr>
        <w:jc w:val="both"/>
        <w:rPr>
          <w:rFonts w:cstheme="minorHAnsi"/>
        </w:rPr>
      </w:pPr>
    </w:p>
    <w:p w14:paraId="3960C92B" w14:textId="77777777" w:rsidR="008C2AE9" w:rsidRPr="00AF4214" w:rsidRDefault="008C2AE9" w:rsidP="00E701A1">
      <w:pPr>
        <w:jc w:val="both"/>
        <w:rPr>
          <w:rFonts w:cstheme="minorHAnsi"/>
        </w:rPr>
      </w:pPr>
    </w:p>
    <w:p w14:paraId="51123BC7" w14:textId="77777777" w:rsidR="003F74DB" w:rsidRPr="00AF4214" w:rsidRDefault="003F74DB" w:rsidP="00E701A1">
      <w:pPr>
        <w:jc w:val="both"/>
        <w:rPr>
          <w:rFonts w:cstheme="minorHAnsi"/>
        </w:rPr>
      </w:pPr>
    </w:p>
    <w:p w14:paraId="438C343C" w14:textId="77777777" w:rsidR="008C2AE9" w:rsidRPr="00AF4214" w:rsidRDefault="008C2AE9" w:rsidP="00E701A1">
      <w:pPr>
        <w:jc w:val="both"/>
        <w:rPr>
          <w:rFonts w:cstheme="minorHAnsi"/>
        </w:rPr>
      </w:pPr>
    </w:p>
    <w:p w14:paraId="74BCADB2" w14:textId="77777777" w:rsidR="00752A50" w:rsidRPr="00AF4214" w:rsidRDefault="00752A50" w:rsidP="004E2469">
      <w:pPr>
        <w:pStyle w:val="Naslov1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auto"/>
        </w:rPr>
      </w:pPr>
      <w:bookmarkStart w:id="4" w:name="_Toc25733130"/>
      <w:r w:rsidRPr="00AF4214">
        <w:rPr>
          <w:rFonts w:asciiTheme="minorHAnsi" w:hAnsiTheme="minorHAnsi" w:cstheme="minorHAnsi"/>
          <w:b/>
          <w:color w:val="auto"/>
        </w:rPr>
        <w:lastRenderedPageBreak/>
        <w:t>PODACI</w:t>
      </w:r>
      <w:r w:rsidR="00632B8E" w:rsidRPr="00AF4214">
        <w:rPr>
          <w:rFonts w:asciiTheme="minorHAnsi" w:hAnsiTheme="minorHAnsi" w:cstheme="minorHAnsi"/>
          <w:b/>
          <w:color w:val="auto"/>
        </w:rPr>
        <w:t xml:space="preserve"> O NARUČITELJU</w:t>
      </w:r>
      <w:r w:rsidRPr="00AF4214">
        <w:rPr>
          <w:rFonts w:asciiTheme="minorHAnsi" w:hAnsiTheme="minorHAnsi" w:cstheme="minorHAnsi"/>
          <w:b/>
          <w:color w:val="auto"/>
        </w:rPr>
        <w:t>:</w:t>
      </w:r>
      <w:bookmarkEnd w:id="4"/>
    </w:p>
    <w:p w14:paraId="056085F2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5" w:name="_Toc25733131"/>
      <w:r w:rsidRPr="00AF4214">
        <w:rPr>
          <w:rFonts w:asciiTheme="minorHAnsi" w:hAnsiTheme="minorHAnsi" w:cstheme="minorHAnsi"/>
          <w:b/>
          <w:color w:val="auto"/>
        </w:rPr>
        <w:t>NAZIV I SJEDIŠTE NARUČITELJA, OIB, BROJ TELEFONA, BROJ TELEFAKSA, INTERNETSKA STRANICA</w:t>
      </w:r>
      <w:r w:rsidR="00264258" w:rsidRPr="00AF4214">
        <w:rPr>
          <w:rFonts w:asciiTheme="minorHAnsi" w:hAnsiTheme="minorHAnsi" w:cstheme="minorHAnsi"/>
          <w:b/>
          <w:color w:val="auto"/>
        </w:rPr>
        <w:t>:</w:t>
      </w:r>
      <w:bookmarkEnd w:id="5"/>
    </w:p>
    <w:p w14:paraId="62FF4730" w14:textId="77777777" w:rsidR="00F25A31" w:rsidRPr="00AF4214" w:rsidRDefault="0026425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OPĆINA STUBIČKE TOPLICE (OIB:15490794749)</w:t>
      </w:r>
      <w:r w:rsidR="00632B8E" w:rsidRPr="00AF4214">
        <w:rPr>
          <w:rFonts w:cstheme="minorHAnsi"/>
        </w:rPr>
        <w:t xml:space="preserve"> </w:t>
      </w:r>
      <w:r w:rsidR="008C2AE9" w:rsidRPr="00AF4214">
        <w:rPr>
          <w:rFonts w:cstheme="minorHAnsi"/>
        </w:rPr>
        <w:t xml:space="preserve">sa sjedištem u </w:t>
      </w:r>
      <w:r w:rsidR="00632B8E" w:rsidRPr="00AF4214">
        <w:rPr>
          <w:rFonts w:cstheme="minorHAnsi"/>
        </w:rPr>
        <w:t xml:space="preserve">Stubičkim Toplicama, Viktora </w:t>
      </w:r>
      <w:proofErr w:type="spellStart"/>
      <w:r w:rsidR="00632B8E" w:rsidRPr="00AF4214">
        <w:rPr>
          <w:rFonts w:cstheme="minorHAnsi"/>
        </w:rPr>
        <w:t>Šipeka</w:t>
      </w:r>
      <w:proofErr w:type="spellEnd"/>
      <w:r w:rsidR="00632B8E" w:rsidRPr="00AF4214">
        <w:rPr>
          <w:rFonts w:cstheme="minorHAnsi"/>
        </w:rPr>
        <w:t xml:space="preserve"> 16,</w:t>
      </w:r>
      <w:r w:rsidRPr="00AF4214">
        <w:rPr>
          <w:rFonts w:cstheme="minorHAnsi"/>
        </w:rPr>
        <w:t xml:space="preserve"> tel. br. 049/ 282 733, fax br. 049/282 940, </w:t>
      </w:r>
      <w:hyperlink r:id="rId9" w:history="1">
        <w:r w:rsidRPr="00AF4214">
          <w:rPr>
            <w:rStyle w:val="Hiperveza"/>
            <w:rFonts w:cstheme="minorHAnsi"/>
            <w:color w:val="auto"/>
          </w:rPr>
          <w:t>www.stubicketoplice.hr</w:t>
        </w:r>
      </w:hyperlink>
      <w:r w:rsidR="00F25A31" w:rsidRPr="00AF4214">
        <w:rPr>
          <w:rFonts w:cstheme="minorHAnsi"/>
        </w:rPr>
        <w:t>.</w:t>
      </w:r>
    </w:p>
    <w:p w14:paraId="765AF811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6" w:name="_Toc25733132"/>
      <w:r w:rsidRPr="00AF4214">
        <w:rPr>
          <w:rFonts w:asciiTheme="minorHAnsi" w:hAnsiTheme="minorHAnsi" w:cstheme="minorHAnsi"/>
          <w:b/>
          <w:color w:val="auto"/>
        </w:rPr>
        <w:t>SLUŽBA ZA KONTAKT:</w:t>
      </w:r>
      <w:bookmarkEnd w:id="6"/>
    </w:p>
    <w:p w14:paraId="1AEB9924" w14:textId="77777777" w:rsidR="00264258" w:rsidRPr="00AF4214" w:rsidRDefault="0026425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Jedinstveni upravni odjel Općine Stubičke Toplice</w:t>
      </w:r>
      <w:r w:rsidR="006509E3" w:rsidRPr="00AF4214">
        <w:rPr>
          <w:rFonts w:cstheme="minorHAnsi"/>
        </w:rPr>
        <w:t>.</w:t>
      </w:r>
    </w:p>
    <w:p w14:paraId="5B5EC262" w14:textId="77777777" w:rsidR="00354888" w:rsidRPr="00AF4214" w:rsidRDefault="00354888" w:rsidP="00354888">
      <w:pPr>
        <w:jc w:val="both"/>
        <w:rPr>
          <w:rFonts w:cstheme="minorHAnsi"/>
        </w:rPr>
      </w:pPr>
      <w:r w:rsidRPr="00AF4214">
        <w:rPr>
          <w:rFonts w:cstheme="minorHAnsi"/>
        </w:rPr>
        <w:t>Komunikacija i svaka druga razmjena informacija između Naručitelja i gospodarskih subjekata obavlja se isključivo na hrvatskom jeziku, elektroničkim sredstvima komunikacije, putem elektroničke pošte osoba zaduženih za komunikaciju s ponuditeljima</w:t>
      </w:r>
      <w:r w:rsidR="00F25A31" w:rsidRPr="00AF4214">
        <w:rPr>
          <w:rFonts w:cstheme="minorHAnsi"/>
        </w:rPr>
        <w:t xml:space="preserve">: Maja Ivačević, </w:t>
      </w:r>
      <w:proofErr w:type="spellStart"/>
      <w:r w:rsidR="00F25A31" w:rsidRPr="00AF4214">
        <w:rPr>
          <w:rFonts w:cstheme="minorHAnsi"/>
        </w:rPr>
        <w:t>dipl.iur</w:t>
      </w:r>
      <w:proofErr w:type="spellEnd"/>
      <w:r w:rsidR="00F25A31" w:rsidRPr="00AF4214">
        <w:rPr>
          <w:rFonts w:cstheme="minorHAnsi"/>
        </w:rPr>
        <w:t xml:space="preserve">., e-mail: </w:t>
      </w:r>
      <w:hyperlink r:id="rId10" w:history="1">
        <w:r w:rsidR="003F74DB" w:rsidRPr="00AF4214">
          <w:rPr>
            <w:rStyle w:val="Hiperveza"/>
            <w:rFonts w:cstheme="minorHAnsi"/>
          </w:rPr>
          <w:t>pravnik@stubicketoplice.hr</w:t>
        </w:r>
      </w:hyperlink>
      <w:r w:rsidR="008C2AE9" w:rsidRPr="00AF4214">
        <w:rPr>
          <w:rFonts w:cstheme="minorHAnsi"/>
        </w:rPr>
        <w:t>.</w:t>
      </w:r>
    </w:p>
    <w:p w14:paraId="5D540E4E" w14:textId="77777777" w:rsidR="006509E3" w:rsidRPr="00AF4214" w:rsidRDefault="006509E3" w:rsidP="00354888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Dodatne informacije, objašnjenja ili izmjene u vezi s </w:t>
      </w:r>
      <w:r w:rsidR="003F74DB" w:rsidRPr="00AF4214">
        <w:rPr>
          <w:rFonts w:cstheme="minorHAnsi"/>
        </w:rPr>
        <w:t>D</w:t>
      </w:r>
      <w:r w:rsidRPr="00AF4214">
        <w:rPr>
          <w:rFonts w:cstheme="minorHAnsi"/>
        </w:rPr>
        <w:t>okumentacijom o nabavi n</w:t>
      </w:r>
      <w:r w:rsidR="00F25A31" w:rsidRPr="00AF4214">
        <w:rPr>
          <w:rFonts w:cstheme="minorHAnsi"/>
        </w:rPr>
        <w:t>eće</w:t>
      </w:r>
      <w:r w:rsidRPr="00AF4214">
        <w:rPr>
          <w:rFonts w:cstheme="minorHAnsi"/>
        </w:rPr>
        <w:t xml:space="preserve"> se davati gospodarskim subjektima putem telefona. </w:t>
      </w:r>
    </w:p>
    <w:p w14:paraId="7CB5A4F8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7" w:name="_Toc25733133"/>
      <w:r w:rsidRPr="00AF4214">
        <w:rPr>
          <w:rFonts w:asciiTheme="minorHAnsi" w:hAnsiTheme="minorHAnsi" w:cstheme="minorHAnsi"/>
          <w:b/>
          <w:color w:val="auto"/>
        </w:rPr>
        <w:t>EVIDENCIJSKI BROJ NABAVE:</w:t>
      </w:r>
      <w:bookmarkEnd w:id="7"/>
    </w:p>
    <w:p w14:paraId="5F86A7BE" w14:textId="04EE4BE2" w:rsidR="00264258" w:rsidRPr="00AF4214" w:rsidRDefault="00F919A0" w:rsidP="00E701A1">
      <w:pPr>
        <w:jc w:val="both"/>
        <w:rPr>
          <w:rFonts w:cstheme="minorHAnsi"/>
        </w:rPr>
      </w:pPr>
      <w:r w:rsidRPr="00FA2130">
        <w:rPr>
          <w:rFonts w:cstheme="minorHAnsi"/>
        </w:rPr>
        <w:t>2</w:t>
      </w:r>
      <w:r w:rsidR="00CB0D93" w:rsidRPr="00FA2130">
        <w:rPr>
          <w:rFonts w:cstheme="minorHAnsi"/>
        </w:rPr>
        <w:t>/202</w:t>
      </w:r>
      <w:r w:rsidR="00FA2130" w:rsidRPr="00FA2130">
        <w:rPr>
          <w:rFonts w:cstheme="minorHAnsi"/>
        </w:rPr>
        <w:t>1</w:t>
      </w:r>
    </w:p>
    <w:p w14:paraId="4BDE025C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8" w:name="_Toc25733134"/>
      <w:r w:rsidRPr="00AF4214">
        <w:rPr>
          <w:rFonts w:asciiTheme="minorHAnsi" w:hAnsiTheme="minorHAnsi" w:cstheme="minorHAnsi"/>
          <w:b/>
          <w:color w:val="auto"/>
        </w:rPr>
        <w:t>VRSTA POSTUPKA:</w:t>
      </w:r>
      <w:bookmarkEnd w:id="8"/>
    </w:p>
    <w:p w14:paraId="1F0D5133" w14:textId="77777777" w:rsidR="00264258" w:rsidRPr="00AF4214" w:rsidRDefault="00F25A31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Jednostavna nabava</w:t>
      </w:r>
      <w:r w:rsidR="00264258" w:rsidRPr="00AF4214">
        <w:rPr>
          <w:rFonts w:cstheme="minorHAnsi"/>
        </w:rPr>
        <w:t>.</w:t>
      </w:r>
    </w:p>
    <w:p w14:paraId="5CF0D9D5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9" w:name="_Toc25733135"/>
      <w:r w:rsidRPr="00AF4214">
        <w:rPr>
          <w:rFonts w:asciiTheme="minorHAnsi" w:hAnsiTheme="minorHAnsi" w:cstheme="minorHAnsi"/>
          <w:b/>
          <w:color w:val="auto"/>
        </w:rPr>
        <w:t>PROCIJENJENA VRIJEDNOST NABAVE:</w:t>
      </w:r>
      <w:bookmarkEnd w:id="9"/>
    </w:p>
    <w:p w14:paraId="1EE1A516" w14:textId="6539A713" w:rsidR="00264258" w:rsidRPr="00AF4214" w:rsidRDefault="0051217A" w:rsidP="00E701A1">
      <w:pPr>
        <w:jc w:val="both"/>
        <w:rPr>
          <w:rFonts w:cstheme="minorHAnsi"/>
        </w:rPr>
      </w:pPr>
      <w:r>
        <w:rPr>
          <w:rFonts w:cstheme="minorHAnsi"/>
        </w:rPr>
        <w:t>192.300,88</w:t>
      </w:r>
      <w:r w:rsidR="00F919A0" w:rsidRPr="00F919A0">
        <w:rPr>
          <w:rFonts w:cstheme="minorHAnsi"/>
        </w:rPr>
        <w:t xml:space="preserve"> kuna</w:t>
      </w:r>
      <w:r w:rsidR="00F25A31" w:rsidRPr="00AF4214">
        <w:rPr>
          <w:rFonts w:cstheme="minorHAnsi"/>
        </w:rPr>
        <w:t>.</w:t>
      </w:r>
    </w:p>
    <w:p w14:paraId="5186F543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0" w:name="_Toc25733136"/>
      <w:r w:rsidRPr="00AF4214">
        <w:rPr>
          <w:rFonts w:asciiTheme="minorHAnsi" w:hAnsiTheme="minorHAnsi" w:cstheme="minorHAnsi"/>
          <w:b/>
          <w:color w:val="auto"/>
        </w:rPr>
        <w:t>VRSTA UGOVORA O</w:t>
      </w:r>
      <w:r w:rsidR="001E5C32" w:rsidRPr="00AF4214">
        <w:rPr>
          <w:rFonts w:asciiTheme="minorHAnsi" w:hAnsiTheme="minorHAnsi" w:cstheme="minorHAnsi"/>
          <w:b/>
          <w:color w:val="auto"/>
        </w:rPr>
        <w:t xml:space="preserve"> </w:t>
      </w:r>
      <w:r w:rsidRPr="00AF4214">
        <w:rPr>
          <w:rFonts w:asciiTheme="minorHAnsi" w:hAnsiTheme="minorHAnsi" w:cstheme="minorHAnsi"/>
          <w:b/>
          <w:color w:val="auto"/>
        </w:rPr>
        <w:t>NABAVI:</w:t>
      </w:r>
      <w:bookmarkEnd w:id="10"/>
    </w:p>
    <w:p w14:paraId="417BF4FD" w14:textId="72CAF467" w:rsidR="00CA4DC1" w:rsidRPr="00AF4214" w:rsidRDefault="0059798D" w:rsidP="00F919A0">
      <w:pPr>
        <w:jc w:val="both"/>
        <w:rPr>
          <w:rFonts w:cstheme="minorHAnsi"/>
        </w:rPr>
      </w:pPr>
      <w:r>
        <w:rPr>
          <w:rFonts w:cstheme="minorHAnsi"/>
        </w:rPr>
        <w:t>U</w:t>
      </w:r>
      <w:r w:rsidR="00F919A0" w:rsidRPr="00F919A0">
        <w:rPr>
          <w:rFonts w:cstheme="minorHAnsi"/>
        </w:rPr>
        <w:t xml:space="preserve">govor </w:t>
      </w:r>
      <w:r w:rsidR="00F919A0">
        <w:rPr>
          <w:rFonts w:cstheme="minorHAnsi"/>
        </w:rPr>
        <w:t>o nabavi uslug</w:t>
      </w:r>
      <w:r>
        <w:rPr>
          <w:rFonts w:cstheme="minorHAnsi"/>
        </w:rPr>
        <w:t>a</w:t>
      </w:r>
      <w:r w:rsidR="00F919A0">
        <w:rPr>
          <w:rFonts w:cstheme="minorHAnsi"/>
        </w:rPr>
        <w:t xml:space="preserve">. </w:t>
      </w:r>
      <w:r w:rsidR="00F919A0" w:rsidRPr="00F919A0">
        <w:rPr>
          <w:rFonts w:cstheme="minorHAnsi"/>
        </w:rPr>
        <w:t>Ugovor se sklapa u skladu sa uvjetima iz ove Dokumentacije o nabavi i ponudom odabranog ponuditelja, Zakona o tržištu električne energije (Narodne novine br. 22/13</w:t>
      </w:r>
      <w:r w:rsidR="00812C31">
        <w:rPr>
          <w:rFonts w:cstheme="minorHAnsi"/>
        </w:rPr>
        <w:t>, 95/15, 102/15</w:t>
      </w:r>
      <w:r w:rsidR="0068390A">
        <w:rPr>
          <w:rFonts w:cstheme="minorHAnsi"/>
        </w:rPr>
        <w:t>,</w:t>
      </w:r>
      <w:r w:rsidR="00812C31">
        <w:rPr>
          <w:rFonts w:cstheme="minorHAnsi"/>
        </w:rPr>
        <w:t xml:space="preserve"> 68/18</w:t>
      </w:r>
      <w:r w:rsidR="0068390A">
        <w:rPr>
          <w:rFonts w:cstheme="minorHAnsi"/>
        </w:rPr>
        <w:t>, 52/19</w:t>
      </w:r>
      <w:r w:rsidR="00F919A0" w:rsidRPr="00F919A0">
        <w:rPr>
          <w:rFonts w:cstheme="minorHAnsi"/>
        </w:rPr>
        <w:t>) i drugih primjenjivih zakonskih i podzakonskih akata.</w:t>
      </w:r>
    </w:p>
    <w:p w14:paraId="4B726C18" w14:textId="77777777" w:rsidR="00752A50" w:rsidRPr="00AF4214" w:rsidRDefault="00752A50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11" w:name="_Toc25733137"/>
      <w:r w:rsidRPr="00AF4214">
        <w:rPr>
          <w:rFonts w:asciiTheme="minorHAnsi" w:hAnsiTheme="minorHAnsi" w:cstheme="minorHAnsi"/>
          <w:b/>
          <w:color w:val="auto"/>
        </w:rPr>
        <w:t>PODACI O PREDMETU NABAVE:</w:t>
      </w:r>
      <w:bookmarkEnd w:id="11"/>
    </w:p>
    <w:p w14:paraId="7FA9BAEB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2" w:name="_Toc25733138"/>
      <w:r w:rsidRPr="00AF4214">
        <w:rPr>
          <w:rFonts w:asciiTheme="minorHAnsi" w:hAnsiTheme="minorHAnsi" w:cstheme="minorHAnsi"/>
          <w:b/>
          <w:color w:val="auto"/>
        </w:rPr>
        <w:t>OPIS PREDMETA NABAVE</w:t>
      </w:r>
      <w:r w:rsidR="00CB449A" w:rsidRPr="00AF4214">
        <w:rPr>
          <w:rFonts w:asciiTheme="minorHAnsi" w:hAnsiTheme="minorHAnsi" w:cstheme="minorHAnsi"/>
          <w:b/>
          <w:color w:val="auto"/>
        </w:rPr>
        <w:t xml:space="preserve"> I TEHNIČKE SPECIFIKACIJE</w:t>
      </w:r>
      <w:r w:rsidRPr="00AF4214">
        <w:rPr>
          <w:rFonts w:asciiTheme="minorHAnsi" w:hAnsiTheme="minorHAnsi" w:cstheme="minorHAnsi"/>
          <w:b/>
          <w:color w:val="auto"/>
        </w:rPr>
        <w:t>:</w:t>
      </w:r>
      <w:bookmarkEnd w:id="12"/>
    </w:p>
    <w:p w14:paraId="2D74C049" w14:textId="3D291DDB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Predmet nabave je opskrba električnom energijom poslovnih prostora u vlasništvu Općine Stubičke Toplice, kao i </w:t>
      </w:r>
      <w:r w:rsidR="00812C31">
        <w:rPr>
          <w:rFonts w:cstheme="minorHAnsi"/>
        </w:rPr>
        <w:t xml:space="preserve">opskrba </w:t>
      </w:r>
      <w:r w:rsidRPr="00F919A0">
        <w:rPr>
          <w:rFonts w:cstheme="minorHAnsi"/>
        </w:rPr>
        <w:t>električnom energijom za rasvjetljavanje javnih površina, javnih cesta koje prolaze kroz naselje i nerazvrstanih cesta, na području Općine Stubičke Toplice, sve prema popisu mjernih mjesta sadržanih u Troškov</w:t>
      </w:r>
      <w:r w:rsidR="00D54AAB">
        <w:rPr>
          <w:rFonts w:cstheme="minorHAnsi"/>
        </w:rPr>
        <w:t>n</w:t>
      </w:r>
      <w:r w:rsidRPr="00F919A0">
        <w:rPr>
          <w:rFonts w:cstheme="minorHAnsi"/>
        </w:rPr>
        <w:t>iku koji je prilog 2 i sastavni dio ove Dokumentacije.</w:t>
      </w:r>
    </w:p>
    <w:p w14:paraId="73016E2F" w14:textId="01BBB448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Ponuditelj nudi predmet nabave u skladu s Općim uvjetima za korištenje mreže i opskrbu električnom energijom (Narodne novine broj 85/15), pridržavajući se u svemu Zakona o tržištu električne energije (Narodne novine broj </w:t>
      </w:r>
      <w:r w:rsidR="00812C31" w:rsidRPr="00812C31">
        <w:rPr>
          <w:rFonts w:cstheme="minorHAnsi"/>
        </w:rPr>
        <w:t>22/13, 95/15, 102/15</w:t>
      </w:r>
      <w:r w:rsidR="00D54AAB">
        <w:rPr>
          <w:rFonts w:cstheme="minorHAnsi"/>
        </w:rPr>
        <w:t>,</w:t>
      </w:r>
      <w:r w:rsidR="00812C31" w:rsidRPr="00812C31">
        <w:rPr>
          <w:rFonts w:cstheme="minorHAnsi"/>
        </w:rPr>
        <w:t xml:space="preserve"> 68/18</w:t>
      </w:r>
      <w:r w:rsidR="00D54AAB">
        <w:rPr>
          <w:rFonts w:cstheme="minorHAnsi"/>
        </w:rPr>
        <w:t xml:space="preserve"> i 52/19</w:t>
      </w:r>
      <w:r w:rsidRPr="00F919A0">
        <w:rPr>
          <w:rFonts w:cstheme="minorHAnsi"/>
        </w:rPr>
        <w:t>) i ostalih propisa koji reguliraju tržište električne energije.</w:t>
      </w:r>
    </w:p>
    <w:p w14:paraId="18ECEDB9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>Obračunsko razdoblje za opskrbu električnom energijom iznosi 30+/-3 dana.</w:t>
      </w:r>
    </w:p>
    <w:p w14:paraId="5468945E" w14:textId="7BE2896E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Obračun električne energije izvršit će odabrani ponuditelj temeljem mjernih podataka koje će utvrditi Operator distribucijskog sustava na obračunskim mjernim mjestima, sukladno </w:t>
      </w:r>
      <w:r w:rsidR="00D54AAB">
        <w:rPr>
          <w:rFonts w:cstheme="minorHAnsi"/>
        </w:rPr>
        <w:t xml:space="preserve">važećim </w:t>
      </w:r>
      <w:r w:rsidRPr="00F919A0">
        <w:rPr>
          <w:rFonts w:cstheme="minorHAnsi"/>
        </w:rPr>
        <w:t>Općim uvjetima za korištenje mreže i opskrbu električnom energijom i Mrežnim pravilima elektroenergetskog sustava (Narodne novine broj 36/06).</w:t>
      </w:r>
    </w:p>
    <w:p w14:paraId="4B10C2E6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lastRenderedPageBreak/>
        <w:t>Obračunski elementi na temelju kojih se radi obračun opskrbe električnom energijom su:</w:t>
      </w:r>
    </w:p>
    <w:p w14:paraId="5D11C8D8" w14:textId="77777777" w:rsidR="00F919A0" w:rsidRPr="00F919A0" w:rsidRDefault="00F919A0" w:rsidP="00F919A0">
      <w:pPr>
        <w:jc w:val="both"/>
        <w:rPr>
          <w:rFonts w:cstheme="minorHAnsi"/>
        </w:rPr>
      </w:pPr>
      <w:r w:rsidRPr="006F3D78">
        <w:rPr>
          <w:rFonts w:cstheme="minorHAnsi"/>
          <w:b/>
          <w:bCs/>
        </w:rPr>
        <w:t>1.</w:t>
      </w:r>
      <w:r w:rsidRPr="00F919A0">
        <w:rPr>
          <w:rFonts w:cstheme="minorHAnsi"/>
        </w:rPr>
        <w:t xml:space="preserve"> Preuzeta radna energija izražena u kWh koja se određuje mjerenjem. Tarifne stavke za prodaju električne energije utvrđuju se prema dobu dana i dijele se na: </w:t>
      </w:r>
    </w:p>
    <w:p w14:paraId="0E52F7C4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- Više dnevne tarifne stavke (VT) </w:t>
      </w:r>
    </w:p>
    <w:p w14:paraId="1FF7BFE5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- Niže dnevne tarifne stavke (NT) </w:t>
      </w:r>
    </w:p>
    <w:p w14:paraId="7E8975AD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- Jedinstvena tarifa (JT): obračunava se električna energija isporučena na mjernom mjestu s tarifnim modelom u kojem se obračunava samo jedna tarifa (npr. tarifni model-niski napon plavi) </w:t>
      </w:r>
    </w:p>
    <w:p w14:paraId="7A74649B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- Javna rasvjeta: obračunava se električna energija isporučena na mjernom mjestu s tarifnim modelom javna rasvjeta. </w:t>
      </w:r>
    </w:p>
    <w:p w14:paraId="5E448AC3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 xml:space="preserve">Po višim dnevnim tarifnim stavkama obračunava se električna energija isporučena u vremenu od 07.00 do 21.00 sat u razdoblju zimskog računanja vremena, a u vremenu od 08.00 do 22.00 sata u razdoblju ljetnog računanja vremena. </w:t>
      </w:r>
    </w:p>
    <w:p w14:paraId="068C4FCF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>Po nižim dnevnim tarifnim stavkama obračunava se električna energija isporučena u vremenu od 21.00 do 07.00 sati idućeg dana u razdoblju zimskog računanja vremena, a u vremenu od 22.00 do 08.00 sati idućeg dana u razdoblju ljetnog računanja vremena.</w:t>
      </w:r>
    </w:p>
    <w:p w14:paraId="4FDE5A11" w14:textId="77777777" w:rsidR="00F919A0" w:rsidRPr="00F919A0" w:rsidRDefault="00F919A0" w:rsidP="00F919A0">
      <w:pPr>
        <w:jc w:val="both"/>
        <w:rPr>
          <w:rFonts w:cstheme="minorHAnsi"/>
        </w:rPr>
      </w:pPr>
      <w:r w:rsidRPr="006F3D78">
        <w:rPr>
          <w:rFonts w:cstheme="minorHAnsi"/>
          <w:b/>
          <w:bCs/>
        </w:rPr>
        <w:t>2.</w:t>
      </w:r>
      <w:r w:rsidRPr="00F919A0">
        <w:rPr>
          <w:rFonts w:cstheme="minorHAnsi"/>
        </w:rPr>
        <w:t xml:space="preserve"> Radna snaga izražena u kW (za ona obračunska mjerna mjesta na kojima se snaga registrira) koja se određuje na temelju vršnog opterećenja. Vršno opterećenje je najveće srednje opterećenje izmjereno tijekom 15 minuta mjesečnog obračunskog razdoblja u doba viših dnevnih tarifnih stavki. Iznos troška radne snage izračunava se množenjem iznosa radne snage s odgovarajućom tarifnom stavkom, koja se iskazuje kao jedinična cijena radne snage. </w:t>
      </w:r>
    </w:p>
    <w:p w14:paraId="20321BEA" w14:textId="77777777" w:rsidR="00F919A0" w:rsidRPr="00F919A0" w:rsidRDefault="00F919A0" w:rsidP="00F919A0">
      <w:pPr>
        <w:jc w:val="both"/>
        <w:rPr>
          <w:rFonts w:cstheme="minorHAnsi"/>
        </w:rPr>
      </w:pPr>
      <w:r w:rsidRPr="00F919A0">
        <w:rPr>
          <w:rFonts w:cstheme="minorHAnsi"/>
        </w:rPr>
        <w:t>Pri obračunavanju preuzete radne energije i radne snage, njihove veličine zaokružuju se na cijele brojeve.</w:t>
      </w:r>
    </w:p>
    <w:p w14:paraId="3D659C67" w14:textId="77777777" w:rsidR="00CB449A" w:rsidRDefault="00F919A0" w:rsidP="00F919A0">
      <w:pPr>
        <w:jc w:val="both"/>
        <w:rPr>
          <w:rFonts w:cstheme="minorHAnsi"/>
        </w:rPr>
      </w:pPr>
      <w:r w:rsidRPr="006F3D78">
        <w:rPr>
          <w:rFonts w:cstheme="minorHAnsi"/>
          <w:b/>
          <w:bCs/>
        </w:rPr>
        <w:t>3.</w:t>
      </w:r>
      <w:r w:rsidRPr="00F919A0">
        <w:rPr>
          <w:rFonts w:cstheme="minorHAnsi"/>
        </w:rPr>
        <w:t xml:space="preserve"> Naknada za poticanje proizvodnje iz obnovljivih izvora (OIE), sukladno Uredbi o naknadi za poticanje proizvodnje električne energije iz obnovljivih izvora energije i kogeneracije (Narodne novine broj 128/13) i trošarine za poslovnu ili neposlovnu uporabu električne energije koje su uređene pozitivnim propisima Republike Hrvatske, te druge moguće naknade, poreze ili dodatci, sukladno važeći propisima, a kupcu električne energije ih je dužan obračunati opskrbljivač električnom energijom</w:t>
      </w:r>
      <w:r w:rsidR="00CB449A" w:rsidRPr="00AF4214">
        <w:rPr>
          <w:rFonts w:cstheme="minorHAnsi"/>
        </w:rPr>
        <w:t>.</w:t>
      </w:r>
    </w:p>
    <w:p w14:paraId="7E2DDE53" w14:textId="7C1E2B9B" w:rsidR="006F3D78" w:rsidRPr="00AF4214" w:rsidRDefault="006F3D78" w:rsidP="00F919A0">
      <w:pPr>
        <w:jc w:val="both"/>
        <w:rPr>
          <w:rFonts w:cstheme="minorHAnsi"/>
        </w:rPr>
      </w:pPr>
      <w:r w:rsidRPr="006F3D78">
        <w:rPr>
          <w:rFonts w:cstheme="minorHAnsi"/>
          <w:b/>
          <w:bCs/>
        </w:rPr>
        <w:t>4.</w:t>
      </w:r>
      <w:r>
        <w:rPr>
          <w:rFonts w:cstheme="minorHAnsi"/>
        </w:rPr>
        <w:t xml:space="preserve"> Trošarina s</w:t>
      </w:r>
      <w:r w:rsidRPr="006F3D78">
        <w:rPr>
          <w:rFonts w:cstheme="minorHAnsi"/>
        </w:rPr>
        <w:t xml:space="preserve">ukladno Zakonu o trošarinama (NN </w:t>
      </w:r>
      <w:r w:rsidR="00D54AAB">
        <w:rPr>
          <w:rFonts w:cstheme="minorHAnsi"/>
        </w:rPr>
        <w:t>106/18 i 121/19</w:t>
      </w:r>
      <w:r>
        <w:rPr>
          <w:rFonts w:cstheme="minorHAnsi"/>
        </w:rPr>
        <w:t>).</w:t>
      </w:r>
    </w:p>
    <w:p w14:paraId="40B71E39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3" w:name="_Toc25733139"/>
      <w:r w:rsidRPr="00AF4214">
        <w:rPr>
          <w:rFonts w:asciiTheme="minorHAnsi" w:hAnsiTheme="minorHAnsi" w:cstheme="minorHAnsi"/>
          <w:b/>
          <w:color w:val="auto"/>
        </w:rPr>
        <w:t>KOLIČINA PREDMETA NABAVE:</w:t>
      </w:r>
      <w:bookmarkEnd w:id="13"/>
    </w:p>
    <w:p w14:paraId="4C0F4527" w14:textId="77777777" w:rsidR="00A343BA" w:rsidRPr="00AF4214" w:rsidRDefault="00A97FF3" w:rsidP="0090432A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Detalji o količinama nalaze se u </w:t>
      </w:r>
      <w:r w:rsidR="003F74DB" w:rsidRPr="00AF4214">
        <w:rPr>
          <w:rFonts w:cstheme="minorHAnsi"/>
        </w:rPr>
        <w:t>T</w:t>
      </w:r>
      <w:r w:rsidRPr="00AF4214">
        <w:rPr>
          <w:rFonts w:cstheme="minorHAnsi"/>
        </w:rPr>
        <w:t>roškovniku, koji je prilog</w:t>
      </w:r>
      <w:r w:rsidR="00CB449A" w:rsidRPr="00AF4214">
        <w:rPr>
          <w:rFonts w:cstheme="minorHAnsi"/>
        </w:rPr>
        <w:t xml:space="preserve"> 2</w:t>
      </w:r>
      <w:r w:rsidRPr="00AF4214">
        <w:rPr>
          <w:rFonts w:cstheme="minorHAnsi"/>
        </w:rPr>
        <w:t xml:space="preserve"> i sastavni dio ove Dokumentacije o nabavi.</w:t>
      </w:r>
      <w:r w:rsidR="00406821" w:rsidRPr="00AF4214">
        <w:rPr>
          <w:rFonts w:cstheme="minorHAnsi"/>
        </w:rPr>
        <w:t xml:space="preserve"> </w:t>
      </w:r>
      <w:r w:rsidR="00406821" w:rsidRPr="0051217A">
        <w:rPr>
          <w:rFonts w:cstheme="minorHAnsi"/>
          <w:b/>
          <w:bCs/>
        </w:rPr>
        <w:t xml:space="preserve">Količine </w:t>
      </w:r>
      <w:r w:rsidR="003F74DB" w:rsidRPr="0051217A">
        <w:rPr>
          <w:rFonts w:cstheme="minorHAnsi"/>
          <w:b/>
          <w:bCs/>
        </w:rPr>
        <w:t xml:space="preserve">u Troškovniku </w:t>
      </w:r>
      <w:r w:rsidR="00406821" w:rsidRPr="0051217A">
        <w:rPr>
          <w:rFonts w:cstheme="minorHAnsi"/>
          <w:b/>
          <w:bCs/>
        </w:rPr>
        <w:t>su</w:t>
      </w:r>
      <w:r w:rsidR="00406821" w:rsidRPr="00AF4214">
        <w:rPr>
          <w:rFonts w:cstheme="minorHAnsi"/>
        </w:rPr>
        <w:t xml:space="preserve"> </w:t>
      </w:r>
      <w:r w:rsidR="00406821" w:rsidRPr="00AF4214">
        <w:rPr>
          <w:rFonts w:cstheme="minorHAnsi"/>
          <w:b/>
          <w:bCs/>
        </w:rPr>
        <w:t>okvirne</w:t>
      </w:r>
      <w:r w:rsidR="00406821" w:rsidRPr="00AF4214">
        <w:rPr>
          <w:rFonts w:cstheme="minorHAnsi"/>
        </w:rPr>
        <w:t xml:space="preserve">, </w:t>
      </w:r>
      <w:r w:rsidR="00F919A0" w:rsidRPr="00F919A0">
        <w:rPr>
          <w:rFonts w:cstheme="minorHAnsi"/>
        </w:rPr>
        <w:t>na temelju potrošnje u prethodnih 12 mjeseci.</w:t>
      </w:r>
    </w:p>
    <w:p w14:paraId="00DCB7D9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4" w:name="_Toc25733140"/>
      <w:r w:rsidRPr="00AF4214">
        <w:rPr>
          <w:rFonts w:asciiTheme="minorHAnsi" w:hAnsiTheme="minorHAnsi" w:cstheme="minorHAnsi"/>
          <w:b/>
          <w:color w:val="auto"/>
        </w:rPr>
        <w:t>TROŠKOVNIK</w:t>
      </w:r>
      <w:bookmarkEnd w:id="14"/>
    </w:p>
    <w:p w14:paraId="2E85A8AB" w14:textId="77777777" w:rsidR="0058440A" w:rsidRPr="00AF4214" w:rsidRDefault="0058440A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Troškovnik </w:t>
      </w:r>
      <w:r w:rsidR="003F74DB" w:rsidRPr="00AF4214">
        <w:rPr>
          <w:rFonts w:cstheme="minorHAnsi"/>
        </w:rPr>
        <w:t>je</w:t>
      </w:r>
      <w:r w:rsidRPr="00AF4214">
        <w:rPr>
          <w:rFonts w:cstheme="minorHAnsi"/>
        </w:rPr>
        <w:t xml:space="preserve"> prilog</w:t>
      </w:r>
      <w:r w:rsidR="00F919A0">
        <w:rPr>
          <w:rFonts w:cstheme="minorHAnsi"/>
        </w:rPr>
        <w:t xml:space="preserve"> 2</w:t>
      </w:r>
      <w:r w:rsidRPr="00AF4214">
        <w:rPr>
          <w:rFonts w:cstheme="minorHAnsi"/>
        </w:rPr>
        <w:t xml:space="preserve"> i sastavni dio ove Dokumentacije o nabavi. </w:t>
      </w:r>
      <w:r w:rsidR="00643A18" w:rsidRPr="00643A18">
        <w:rPr>
          <w:rFonts w:cstheme="minorHAnsi"/>
        </w:rPr>
        <w:t>Nije dozvoljeno mijenjanje stavaka troškovnika. Troškovnik je potrebno ispuniti te dostaviti u sklopu ponude</w:t>
      </w:r>
      <w:r w:rsidR="00643A18">
        <w:rPr>
          <w:rFonts w:cstheme="minorHAnsi"/>
        </w:rPr>
        <w:t>.</w:t>
      </w:r>
    </w:p>
    <w:p w14:paraId="58A481BC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5" w:name="_Toc25733141"/>
      <w:r w:rsidRPr="00AF4214">
        <w:rPr>
          <w:rFonts w:asciiTheme="minorHAnsi" w:hAnsiTheme="minorHAnsi" w:cstheme="minorHAnsi"/>
          <w:b/>
          <w:color w:val="auto"/>
        </w:rPr>
        <w:t>MJESTO IZVRŠENJA UGOVORA</w:t>
      </w:r>
      <w:bookmarkEnd w:id="15"/>
    </w:p>
    <w:p w14:paraId="3A11F7EE" w14:textId="77777777" w:rsidR="00F919A0" w:rsidRPr="00F919A0" w:rsidRDefault="001E5C32" w:rsidP="00F919A0">
      <w:pPr>
        <w:jc w:val="both"/>
        <w:rPr>
          <w:rFonts w:cstheme="minorHAnsi"/>
        </w:rPr>
      </w:pPr>
      <w:r w:rsidRPr="00AF4214">
        <w:rPr>
          <w:rFonts w:cstheme="minorHAnsi"/>
        </w:rPr>
        <w:t>O</w:t>
      </w:r>
      <w:r w:rsidR="0058440A" w:rsidRPr="00AF4214">
        <w:rPr>
          <w:rFonts w:cstheme="minorHAnsi"/>
        </w:rPr>
        <w:t>pćina Stubičke Toplice</w:t>
      </w:r>
      <w:r w:rsidRPr="00AF4214">
        <w:rPr>
          <w:rFonts w:cstheme="minorHAnsi"/>
        </w:rPr>
        <w:t>.</w:t>
      </w:r>
      <w:r w:rsidR="00F919A0" w:rsidRPr="00F919A0">
        <w:t xml:space="preserve"> </w:t>
      </w:r>
      <w:r w:rsidR="006F3D78">
        <w:t>Mjesto isporuke su o</w:t>
      </w:r>
      <w:r w:rsidR="00F919A0" w:rsidRPr="00F919A0">
        <w:rPr>
          <w:rFonts w:cstheme="minorHAnsi"/>
        </w:rPr>
        <w:t>bračunska mjerna mjesta</w:t>
      </w:r>
      <w:r w:rsidR="00643A18">
        <w:rPr>
          <w:rFonts w:cstheme="minorHAnsi"/>
        </w:rPr>
        <w:t xml:space="preserve"> n</w:t>
      </w:r>
      <w:r w:rsidR="00F919A0" w:rsidRPr="00F919A0">
        <w:rPr>
          <w:rFonts w:cstheme="minorHAnsi"/>
        </w:rPr>
        <w:t>avedena u Troškovniku.</w:t>
      </w:r>
      <w:bookmarkStart w:id="16" w:name="_Toc25733142"/>
    </w:p>
    <w:p w14:paraId="5E613389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r w:rsidRPr="00AF4214">
        <w:rPr>
          <w:rFonts w:asciiTheme="minorHAnsi" w:hAnsiTheme="minorHAnsi" w:cstheme="minorHAnsi"/>
          <w:b/>
          <w:color w:val="auto"/>
        </w:rPr>
        <w:t>ROK POČETKA I ZAVRŠETKA IZVRŠENJA UGOVORA</w:t>
      </w:r>
      <w:bookmarkEnd w:id="16"/>
    </w:p>
    <w:p w14:paraId="5202F2F3" w14:textId="4321A1F9" w:rsidR="003C4915" w:rsidRPr="00AF4214" w:rsidRDefault="0058440A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S odabranim gospodarskim subjektom sklopit će se </w:t>
      </w:r>
      <w:r w:rsidR="008C2AE9" w:rsidRPr="00AF4214">
        <w:rPr>
          <w:rFonts w:cstheme="minorHAnsi"/>
        </w:rPr>
        <w:t>u</w:t>
      </w:r>
      <w:r w:rsidRPr="00AF4214">
        <w:rPr>
          <w:rFonts w:cstheme="minorHAnsi"/>
        </w:rPr>
        <w:t>govor</w:t>
      </w:r>
      <w:r w:rsidR="00541CD7" w:rsidRPr="00AF4214">
        <w:rPr>
          <w:rFonts w:cstheme="minorHAnsi"/>
        </w:rPr>
        <w:t>, nakon donošenj</w:t>
      </w:r>
      <w:r w:rsidR="00F919A0">
        <w:rPr>
          <w:rFonts w:cstheme="minorHAnsi"/>
        </w:rPr>
        <w:t>a</w:t>
      </w:r>
      <w:r w:rsidR="00541CD7" w:rsidRPr="00AF4214">
        <w:rPr>
          <w:rFonts w:cstheme="minorHAnsi"/>
        </w:rPr>
        <w:t xml:space="preserve"> odluke o odabiru</w:t>
      </w:r>
      <w:r w:rsidR="008C2AE9" w:rsidRPr="00AF4214">
        <w:rPr>
          <w:rFonts w:cstheme="minorHAnsi"/>
        </w:rPr>
        <w:t>.</w:t>
      </w:r>
      <w:r w:rsidR="005E4544" w:rsidRPr="00AF4214">
        <w:rPr>
          <w:rFonts w:cstheme="minorHAnsi"/>
        </w:rPr>
        <w:t xml:space="preserve"> Ugovor se sklapa na određeno vrijeme od 01. siječnja 202</w:t>
      </w:r>
      <w:r w:rsidR="0051217A">
        <w:rPr>
          <w:rFonts w:cstheme="minorHAnsi"/>
        </w:rPr>
        <w:t>1</w:t>
      </w:r>
      <w:r w:rsidR="005E4544" w:rsidRPr="00AF4214">
        <w:rPr>
          <w:rFonts w:cstheme="minorHAnsi"/>
        </w:rPr>
        <w:t>. do 31. prosinca 202</w:t>
      </w:r>
      <w:r w:rsidR="0051217A">
        <w:rPr>
          <w:rFonts w:cstheme="minorHAnsi"/>
        </w:rPr>
        <w:t>1</w:t>
      </w:r>
      <w:r w:rsidR="005E4544" w:rsidRPr="00AF4214">
        <w:rPr>
          <w:rFonts w:cstheme="minorHAnsi"/>
        </w:rPr>
        <w:t>. godine</w:t>
      </w:r>
      <w:r w:rsidR="00643A18">
        <w:rPr>
          <w:rFonts w:cstheme="minorHAnsi"/>
        </w:rPr>
        <w:t>.</w:t>
      </w:r>
    </w:p>
    <w:p w14:paraId="562F287F" w14:textId="77777777" w:rsidR="00933321" w:rsidRPr="00AF4214" w:rsidRDefault="00933321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17" w:name="_Toc25733143"/>
      <w:r w:rsidRPr="00AF4214">
        <w:rPr>
          <w:rFonts w:asciiTheme="minorHAnsi" w:hAnsiTheme="minorHAnsi" w:cstheme="minorHAnsi"/>
          <w:b/>
          <w:color w:val="auto"/>
        </w:rPr>
        <w:lastRenderedPageBreak/>
        <w:t>RAZLOZI ISKLJUČENJA GOSPODARSKOG SUBJEKTA</w:t>
      </w:r>
      <w:bookmarkEnd w:id="17"/>
    </w:p>
    <w:p w14:paraId="6A317044" w14:textId="77777777" w:rsidR="00D949FF" w:rsidRPr="00AF4214" w:rsidRDefault="00D949FF" w:rsidP="00D949FF">
      <w:pPr>
        <w:pStyle w:val="Naslov3"/>
        <w:jc w:val="both"/>
        <w:rPr>
          <w:rFonts w:asciiTheme="minorHAnsi" w:hAnsiTheme="minorHAnsi" w:cstheme="minorHAnsi"/>
          <w:b/>
        </w:rPr>
      </w:pPr>
      <w:bookmarkStart w:id="18" w:name="_Toc508363826"/>
      <w:bookmarkStart w:id="19" w:name="_Toc25733144"/>
      <w:r w:rsidRPr="00AF4214">
        <w:rPr>
          <w:rFonts w:asciiTheme="minorHAnsi" w:hAnsiTheme="minorHAnsi" w:cstheme="minorHAnsi"/>
          <w:b/>
        </w:rPr>
        <w:t>Javni naručitelj obvezan je isključiti gospodarskog subjekta iz postupka nabave ako utvrdi da:</w:t>
      </w:r>
      <w:bookmarkEnd w:id="18"/>
      <w:bookmarkEnd w:id="19"/>
    </w:p>
    <w:p w14:paraId="05ACE2A2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 xml:space="preserve">1. je gospodarski subjekt koji ima poslovni </w:t>
      </w:r>
      <w:proofErr w:type="spellStart"/>
      <w:r w:rsidRPr="00AF4214">
        <w:rPr>
          <w:rFonts w:cstheme="minorHAnsi"/>
        </w:rPr>
        <w:t>nastan</w:t>
      </w:r>
      <w:proofErr w:type="spellEnd"/>
      <w:r w:rsidRPr="00AF4214">
        <w:rPr>
          <w:rFonts w:cstheme="minorHAnsi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547F12FA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a) sudjelovanje u zločinačkoj organizaciji, na temelju</w:t>
      </w:r>
    </w:p>
    <w:p w14:paraId="2A07EE84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328. (zločinačko udruženje) i članka 329. (počinjenje kaznenog djela u sastavu zločinačkog udruženja) Kaznenog zakona</w:t>
      </w:r>
    </w:p>
    <w:p w14:paraId="0D5614CC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A689D97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b) korupciju, na temelju</w:t>
      </w:r>
    </w:p>
    <w:p w14:paraId="5A728EA2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7D6C274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4EEC1AC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c) prijevaru, na temelju</w:t>
      </w:r>
    </w:p>
    <w:p w14:paraId="56889BC1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236. (prijevara), članka 247. (prijevara u gospodarskom poslovanju), članka 256. (utaja poreza ili carine) i članka 258. (subvencijska prijevara) Kaznenog zakona</w:t>
      </w:r>
    </w:p>
    <w:p w14:paraId="51CC24C3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FAB2B07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d) terorizam ili kaznena djela povezana s terorističkim aktivnostima, na temelju</w:t>
      </w:r>
    </w:p>
    <w:p w14:paraId="049E6B63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4C8A5F26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37118C2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e) pranje novca ili financiranje terorizma, na temelju</w:t>
      </w:r>
    </w:p>
    <w:p w14:paraId="54CFB027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98. (financiranje terorizma) i članka 265. (pranje novca) Kaznenog zakona</w:t>
      </w:r>
    </w:p>
    <w:p w14:paraId="3EA5B4BD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279. (pranje novca) iz Kaznenog zakona (»Narodne novine«, br. 110/97., 27/98., 50/00., 129/00., 51/01., 111/03., 190/03., 105/04., 84/05., 71/06., 110/07., 152/08., 57/11., 77/11. i 143/12.)</w:t>
      </w:r>
    </w:p>
    <w:p w14:paraId="76139810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f) dječji rad ili druge oblike trgovanja ljudima, na temelju</w:t>
      </w:r>
    </w:p>
    <w:p w14:paraId="68BDA31C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106. (trgovanje ljudima) Kaznenog zakona</w:t>
      </w:r>
    </w:p>
    <w:p w14:paraId="4E274868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- članka 175. (trgovanje ljudima i ropstvo) iz Kaznenog zakona (»Narodne novine«, br. 110/97., 27/98., 50/00., 129/00., 51/01., 111/03., 190/03., 105/04., 84/05., 71/06., 110/07., 152/08., 57/11., 77/11. i 143/12.), ili</w:t>
      </w:r>
    </w:p>
    <w:p w14:paraId="54119273" w14:textId="77777777" w:rsidR="00D949FF" w:rsidRPr="00AF4214" w:rsidRDefault="00D949FF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 xml:space="preserve">2. je gospodarski subjekt koji nema poslovni </w:t>
      </w:r>
      <w:proofErr w:type="spellStart"/>
      <w:r w:rsidRPr="00AF4214">
        <w:rPr>
          <w:rFonts w:cstheme="minorHAnsi"/>
        </w:rPr>
        <w:t>nastan</w:t>
      </w:r>
      <w:proofErr w:type="spellEnd"/>
      <w:r w:rsidRPr="00AF4214">
        <w:rPr>
          <w:rFonts w:cstheme="minorHAnsi"/>
        </w:rP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točke 1. </w:t>
      </w:r>
      <w:proofErr w:type="spellStart"/>
      <w:r w:rsidRPr="00AF4214">
        <w:rPr>
          <w:rFonts w:cstheme="minorHAnsi"/>
        </w:rPr>
        <w:t>podtočaka</w:t>
      </w:r>
      <w:proofErr w:type="spellEnd"/>
      <w:r w:rsidRPr="00AF4214">
        <w:rPr>
          <w:rFonts w:cstheme="minorHAnsi"/>
        </w:rPr>
        <w:t xml:space="preserve"> od a) do f) t. 3.1.1. </w:t>
      </w:r>
      <w:proofErr w:type="spellStart"/>
      <w:r w:rsidRPr="00AF4214">
        <w:rPr>
          <w:rFonts w:cstheme="minorHAnsi"/>
        </w:rPr>
        <w:t>DoN</w:t>
      </w:r>
      <w:proofErr w:type="spellEnd"/>
      <w:r w:rsidRPr="00AF4214">
        <w:rPr>
          <w:rFonts w:cstheme="minorHAnsi"/>
        </w:rPr>
        <w:t xml:space="preserve"> i za odgovarajuća kaznena djela koja, prema </w:t>
      </w:r>
      <w:r w:rsidRPr="00AF4214">
        <w:rPr>
          <w:rFonts w:cstheme="minorHAnsi"/>
        </w:rPr>
        <w:lastRenderedPageBreak/>
        <w:t xml:space="preserve">nacionalnim propisima države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412C295B" w14:textId="77777777" w:rsidR="00BB77A5" w:rsidRPr="00AF4214" w:rsidRDefault="00BB77A5" w:rsidP="00BB77A5">
      <w:pPr>
        <w:spacing w:after="0"/>
        <w:jc w:val="both"/>
        <w:rPr>
          <w:rFonts w:cstheme="minorHAnsi"/>
        </w:rPr>
      </w:pPr>
    </w:p>
    <w:p w14:paraId="563B7142" w14:textId="77777777" w:rsidR="0090432A" w:rsidRPr="00AF4214" w:rsidRDefault="00BB77A5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N</w:t>
      </w:r>
      <w:r w:rsidR="0090432A" w:rsidRPr="00AF4214">
        <w:rPr>
          <w:rFonts w:cstheme="minorHAnsi"/>
        </w:rPr>
        <w:t xml:space="preserve">epostojanje osnova za isključenje iz ove </w:t>
      </w:r>
      <w:proofErr w:type="spellStart"/>
      <w:r w:rsidR="0090432A" w:rsidRPr="00AF4214">
        <w:rPr>
          <w:rFonts w:cstheme="minorHAnsi"/>
        </w:rPr>
        <w:t>podtočke</w:t>
      </w:r>
      <w:proofErr w:type="spellEnd"/>
      <w:r w:rsidR="0090432A" w:rsidRPr="00AF4214">
        <w:rPr>
          <w:rFonts w:cstheme="minorHAnsi"/>
        </w:rPr>
        <w:t xml:space="preserve"> </w:t>
      </w:r>
      <w:r w:rsidRPr="00AF4214">
        <w:rPr>
          <w:rFonts w:cstheme="minorHAnsi"/>
          <w:b/>
        </w:rPr>
        <w:t>dokazuje se</w:t>
      </w:r>
      <w:r w:rsidR="0090432A" w:rsidRPr="00AF4214">
        <w:rPr>
          <w:rFonts w:cstheme="minorHAnsi"/>
        </w:rPr>
        <w:t>:</w:t>
      </w:r>
    </w:p>
    <w:p w14:paraId="4174CBB7" w14:textId="77777777" w:rsidR="0090432A" w:rsidRPr="00AF4214" w:rsidRDefault="0090432A" w:rsidP="0090432A">
      <w:pPr>
        <w:pStyle w:val="Odlomakpopisa"/>
        <w:numPr>
          <w:ilvl w:val="0"/>
          <w:numId w:val="13"/>
        </w:numPr>
        <w:jc w:val="both"/>
        <w:rPr>
          <w:rFonts w:cstheme="minorHAnsi"/>
        </w:rPr>
      </w:pPr>
      <w:r w:rsidRPr="00AF4214">
        <w:rPr>
          <w:rFonts w:cstheme="minorHAnsi"/>
        </w:rPr>
        <w:t>izvadak iz kaznene evidencije ili drugog odgovarajućeg registra ili, ako to nije moguće,</w:t>
      </w:r>
    </w:p>
    <w:p w14:paraId="38B8040C" w14:textId="77777777" w:rsidR="0090432A" w:rsidRPr="00AF4214" w:rsidRDefault="0090432A" w:rsidP="0090432A">
      <w:pPr>
        <w:pStyle w:val="Odlomakpopisa"/>
        <w:numPr>
          <w:ilvl w:val="0"/>
          <w:numId w:val="13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jednakovrijedni dokument nadležne sudske ili upravne vlasti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državljanin, kojim se dokazuje da ne postoje osnove za isključenje iz t. 3.1.1 </w:t>
      </w:r>
      <w:proofErr w:type="spellStart"/>
      <w:r w:rsidRPr="00AF4214">
        <w:rPr>
          <w:rFonts w:cstheme="minorHAnsi"/>
        </w:rPr>
        <w:t>DoN</w:t>
      </w:r>
      <w:proofErr w:type="spellEnd"/>
      <w:r w:rsidRPr="00AF4214">
        <w:rPr>
          <w:rFonts w:cstheme="minorHAnsi"/>
        </w:rPr>
        <w:t xml:space="preserve">. </w:t>
      </w:r>
    </w:p>
    <w:p w14:paraId="06800EAA" w14:textId="77777777" w:rsidR="00BB77A5" w:rsidRPr="00AF4214" w:rsidRDefault="0090432A" w:rsidP="0090432A">
      <w:pPr>
        <w:pStyle w:val="Odlomakpopisa"/>
        <w:numPr>
          <w:ilvl w:val="0"/>
          <w:numId w:val="13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ako se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 ne izdaju dokumenti iz alineje prve i druge ili ako ne obuhvaćaju sve okolnosti iz članka 251. stavka 1. Zakona o javnoj nabavi (odnosno t. 3.1.1. </w:t>
      </w:r>
      <w:proofErr w:type="spellStart"/>
      <w:r w:rsidRPr="00AF4214">
        <w:rPr>
          <w:rFonts w:cstheme="minorHAnsi"/>
        </w:rPr>
        <w:t>DoN</w:t>
      </w:r>
      <w:proofErr w:type="spellEnd"/>
      <w:r w:rsidRPr="00AF4214">
        <w:rPr>
          <w:rFonts w:cstheme="minorHAnsi"/>
        </w:rPr>
        <w:t xml:space="preserve">),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državljanin.</w:t>
      </w:r>
    </w:p>
    <w:p w14:paraId="4FC1D76C" w14:textId="715A21C5" w:rsidR="00D54AAB" w:rsidRDefault="00D54AAB" w:rsidP="00BB77A5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D54AAB">
        <w:rPr>
          <w:rFonts w:cstheme="minorHAnsi"/>
        </w:rPr>
        <w:t>matra</w:t>
      </w:r>
      <w:r>
        <w:rPr>
          <w:rFonts w:cstheme="minorHAnsi"/>
        </w:rPr>
        <w:t xml:space="preserve"> se</w:t>
      </w:r>
      <w:r w:rsidRPr="00D54AAB">
        <w:rPr>
          <w:rFonts w:cstheme="minorHAnsi"/>
        </w:rPr>
        <w:t xml:space="preserve"> da </w:t>
      </w:r>
      <w:r w:rsidR="00DB4700">
        <w:rPr>
          <w:rFonts w:cstheme="minorHAnsi"/>
        </w:rPr>
        <w:t>je „</w:t>
      </w:r>
      <w:r w:rsidR="00DB4700" w:rsidRPr="00DB4700">
        <w:rPr>
          <w:rFonts w:cstheme="minorHAnsi"/>
        </w:rPr>
        <w:t xml:space="preserve">izvadak iz kaznene evidencije ili drugog odgovarajućeg registra ili, ako to nije moguće, jednakovrijedni dokument nadležne sudske ili upravne vlasti u državi poslovnog </w:t>
      </w:r>
      <w:proofErr w:type="spellStart"/>
      <w:r w:rsidR="00DB4700" w:rsidRPr="00DB4700">
        <w:rPr>
          <w:rFonts w:cstheme="minorHAnsi"/>
        </w:rPr>
        <w:t>nastana</w:t>
      </w:r>
      <w:proofErr w:type="spellEnd"/>
      <w:r w:rsidR="00DB4700" w:rsidRPr="00DB4700">
        <w:rPr>
          <w:rFonts w:cstheme="minorHAnsi"/>
        </w:rPr>
        <w:t xml:space="preserve"> gospodarskog subjekta, odnosno državi čiji je osoba državljanin</w:t>
      </w:r>
      <w:r w:rsidR="00DB4700">
        <w:rPr>
          <w:rFonts w:cstheme="minorHAnsi"/>
        </w:rPr>
        <w:t xml:space="preserve">“ </w:t>
      </w:r>
      <w:r w:rsidRPr="00D54AAB">
        <w:rPr>
          <w:rFonts w:cstheme="minorHAnsi"/>
        </w:rPr>
        <w:t>ažuriran ako ni</w:t>
      </w:r>
      <w:r w:rsidR="00DB4700">
        <w:rPr>
          <w:rFonts w:cstheme="minorHAnsi"/>
        </w:rPr>
        <w:t>je</w:t>
      </w:r>
      <w:r w:rsidRPr="00D54AAB">
        <w:rPr>
          <w:rFonts w:cstheme="minorHAnsi"/>
        </w:rPr>
        <w:t xml:space="preserve"> stariji više od šest mjeseci od dana početka postupka</w:t>
      </w:r>
      <w:r>
        <w:rPr>
          <w:rFonts w:cstheme="minorHAnsi"/>
        </w:rPr>
        <w:t xml:space="preserve"> </w:t>
      </w:r>
      <w:r w:rsidRPr="00D54AAB">
        <w:rPr>
          <w:rFonts w:cstheme="minorHAnsi"/>
        </w:rPr>
        <w:t>nabave</w:t>
      </w:r>
      <w:r>
        <w:rPr>
          <w:rFonts w:cstheme="minorHAnsi"/>
        </w:rPr>
        <w:t>.</w:t>
      </w:r>
      <w:r w:rsidR="00DB4700">
        <w:rPr>
          <w:rFonts w:cstheme="minorHAnsi"/>
        </w:rPr>
        <w:t xml:space="preserve"> S</w:t>
      </w:r>
      <w:r w:rsidR="00DB4700" w:rsidRPr="00DB4700">
        <w:rPr>
          <w:rFonts w:cstheme="minorHAnsi"/>
        </w:rPr>
        <w:t xml:space="preserve">matra </w:t>
      </w:r>
      <w:r w:rsidR="00DB4700">
        <w:rPr>
          <w:rFonts w:cstheme="minorHAnsi"/>
        </w:rPr>
        <w:t xml:space="preserve">se </w:t>
      </w:r>
      <w:r w:rsidR="00DB4700" w:rsidRPr="00DB4700">
        <w:rPr>
          <w:rFonts w:cstheme="minorHAnsi"/>
        </w:rPr>
        <w:t>da su izjave ažurirane ako nisu starije od dana početka postupka nabave</w:t>
      </w:r>
      <w:r w:rsidR="00DB4700">
        <w:rPr>
          <w:rFonts w:cstheme="minorHAnsi"/>
        </w:rPr>
        <w:t>.</w:t>
      </w:r>
    </w:p>
    <w:p w14:paraId="79BF3C1D" w14:textId="23B0C6A8" w:rsidR="0090432A" w:rsidRPr="00AF4214" w:rsidRDefault="0090432A" w:rsidP="00BB77A5">
      <w:pPr>
        <w:jc w:val="both"/>
        <w:rPr>
          <w:rFonts w:cstheme="minorHAnsi"/>
        </w:rPr>
      </w:pPr>
      <w:r w:rsidRPr="00AF4214">
        <w:rPr>
          <w:rFonts w:cstheme="minorHAnsi"/>
        </w:rPr>
        <w:t>Izjavu može dati osoba po zakonu ovlaštena za zastupanje gospodarskog subjekta za gospodarski subjekt i za sve osobe koje su članovi upravnog, upravljačkog ili nadzornog tijela ili imaju ovlasti zastupanja, donošenja odluka ili nadzora gospodarskog subjekta.</w:t>
      </w:r>
    </w:p>
    <w:p w14:paraId="387212C1" w14:textId="77777777" w:rsidR="00D949FF" w:rsidRPr="00AF4214" w:rsidRDefault="00D949FF" w:rsidP="00D949FF">
      <w:pPr>
        <w:pStyle w:val="Naslov3"/>
        <w:jc w:val="both"/>
        <w:rPr>
          <w:rFonts w:asciiTheme="minorHAnsi" w:hAnsiTheme="minorHAnsi" w:cstheme="minorHAnsi"/>
          <w:b/>
        </w:rPr>
      </w:pPr>
      <w:bookmarkStart w:id="20" w:name="_Toc508363827"/>
      <w:bookmarkStart w:id="21" w:name="_Toc25733145"/>
      <w:r w:rsidRPr="00AF4214">
        <w:rPr>
          <w:rFonts w:asciiTheme="minorHAnsi" w:hAnsiTheme="minorHAnsi" w:cstheme="minorHAnsi"/>
          <w:b/>
        </w:rPr>
        <w:t>Javni naručitelj obvezan je isključiti gospodarskog subjekta iz postupka nabave ako utvrdi da gospodarski subjekt nije ispunio obveze plaćanja dospjelih poreznih obveza i obveza za mirovinsko i zdravstveno osiguranje:</w:t>
      </w:r>
      <w:bookmarkEnd w:id="20"/>
      <w:bookmarkEnd w:id="21"/>
    </w:p>
    <w:p w14:paraId="0B465773" w14:textId="77777777" w:rsidR="00D949FF" w:rsidRPr="00AF4214" w:rsidRDefault="00D949FF" w:rsidP="00D949FF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u Republici Hrvatskoj, ako gospodarski subjekt ima poslovni </w:t>
      </w:r>
      <w:proofErr w:type="spellStart"/>
      <w:r w:rsidRPr="00AF4214">
        <w:rPr>
          <w:rFonts w:cstheme="minorHAnsi"/>
        </w:rPr>
        <w:t>nastan</w:t>
      </w:r>
      <w:proofErr w:type="spellEnd"/>
      <w:r w:rsidRPr="00AF4214">
        <w:rPr>
          <w:rFonts w:cstheme="minorHAnsi"/>
        </w:rPr>
        <w:t xml:space="preserve"> u Republici Hrvatskoj, ili</w:t>
      </w:r>
    </w:p>
    <w:p w14:paraId="24958862" w14:textId="77777777" w:rsidR="00D949FF" w:rsidRPr="00AF4214" w:rsidRDefault="00D949FF" w:rsidP="00D949FF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u Republici Hrvatskoj ili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ako gospodarski subjekt nema poslovni </w:t>
      </w:r>
      <w:proofErr w:type="spellStart"/>
      <w:r w:rsidRPr="00AF4214">
        <w:rPr>
          <w:rFonts w:cstheme="minorHAnsi"/>
        </w:rPr>
        <w:t>nastan</w:t>
      </w:r>
      <w:proofErr w:type="spellEnd"/>
      <w:r w:rsidRPr="00AF4214">
        <w:rPr>
          <w:rFonts w:cstheme="minorHAnsi"/>
        </w:rPr>
        <w:t xml:space="preserve"> u Republici Hrvatskoj.</w:t>
      </w:r>
    </w:p>
    <w:p w14:paraId="179DD485" w14:textId="77777777" w:rsidR="00D949FF" w:rsidRPr="00AF4214" w:rsidRDefault="00D949FF" w:rsidP="00D949FF">
      <w:pPr>
        <w:jc w:val="both"/>
        <w:rPr>
          <w:rFonts w:cstheme="minorHAnsi"/>
        </w:rPr>
      </w:pPr>
      <w:r w:rsidRPr="00AF4214">
        <w:rPr>
          <w:rFonts w:cstheme="minorHAnsi"/>
        </w:rPr>
        <w:t>Iznimno, javni naručitelj neće isključiti gospodarskog subjekta iz postupka nabave ako mu sukladno posebnom propisu plaćanje obveza nije dopušteno ili mu je odobrena odgoda plaćanja.</w:t>
      </w:r>
    </w:p>
    <w:p w14:paraId="1CEEBFA5" w14:textId="77777777" w:rsidR="00BB77A5" w:rsidRPr="00AF4214" w:rsidRDefault="00BB77A5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 xml:space="preserve">Nepostojanje osnova za isključenje iz ove </w:t>
      </w:r>
      <w:proofErr w:type="spellStart"/>
      <w:r w:rsidRPr="00AF4214">
        <w:rPr>
          <w:rFonts w:cstheme="minorHAnsi"/>
        </w:rPr>
        <w:t>podtočke</w:t>
      </w:r>
      <w:proofErr w:type="spellEnd"/>
      <w:r w:rsidRPr="00AF4214">
        <w:rPr>
          <w:rFonts w:cstheme="minorHAnsi"/>
        </w:rPr>
        <w:t xml:space="preserve"> </w:t>
      </w:r>
      <w:r w:rsidRPr="00AF4214">
        <w:rPr>
          <w:rFonts w:cstheme="minorHAnsi"/>
          <w:b/>
        </w:rPr>
        <w:t>dokazuje se</w:t>
      </w:r>
      <w:r w:rsidRPr="00AF4214">
        <w:rPr>
          <w:rFonts w:cstheme="minorHAnsi"/>
        </w:rPr>
        <w:t>:</w:t>
      </w:r>
    </w:p>
    <w:p w14:paraId="0E3AE1CE" w14:textId="77777777" w:rsidR="0090432A" w:rsidRPr="00AF4214" w:rsidRDefault="0090432A" w:rsidP="0090432A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potvrdu porezne uprave ili drugog nadležnog tijela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 kojom se dokazuje da ne postoje osnove za isključenje iz t. 3.1.2. </w:t>
      </w:r>
      <w:proofErr w:type="spellStart"/>
      <w:r w:rsidRPr="00AF4214">
        <w:rPr>
          <w:rFonts w:cstheme="minorHAnsi"/>
        </w:rPr>
        <w:t>DoN</w:t>
      </w:r>
      <w:proofErr w:type="spellEnd"/>
    </w:p>
    <w:p w14:paraId="03F54C8B" w14:textId="7DA07346" w:rsidR="0090432A" w:rsidRDefault="0090432A" w:rsidP="0090432A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ako se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 ne izdaju dokumenti iz alineje prve ili ako ne obuhvaćaju sve okolnosti iz t. 3.1.2. </w:t>
      </w:r>
      <w:proofErr w:type="spellStart"/>
      <w:r w:rsidRPr="00AF4214">
        <w:rPr>
          <w:rFonts w:cstheme="minorHAnsi"/>
        </w:rPr>
        <w:t>DoN</w:t>
      </w:r>
      <w:proofErr w:type="spellEnd"/>
      <w:r w:rsidRPr="00AF4214">
        <w:rPr>
          <w:rFonts w:cstheme="minorHAnsi"/>
        </w:rPr>
        <w:t xml:space="preserve">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državljanin.</w:t>
      </w:r>
    </w:p>
    <w:p w14:paraId="0F734143" w14:textId="4A02D72A" w:rsidR="00D54AAB" w:rsidRPr="00D54AAB" w:rsidRDefault="00D54AAB" w:rsidP="00D54AAB">
      <w:pPr>
        <w:jc w:val="both"/>
        <w:rPr>
          <w:rFonts w:cstheme="minorHAnsi"/>
        </w:rPr>
      </w:pPr>
      <w:bookmarkStart w:id="22" w:name="_Hlk57740510"/>
      <w:r>
        <w:rPr>
          <w:rFonts w:cstheme="minorHAnsi"/>
        </w:rPr>
        <w:t>S</w:t>
      </w:r>
      <w:r w:rsidRPr="00D54AAB">
        <w:rPr>
          <w:rFonts w:cstheme="minorHAnsi"/>
        </w:rPr>
        <w:t xml:space="preserve">matra da su dokumenti iz </w:t>
      </w:r>
      <w:r>
        <w:rPr>
          <w:rFonts w:cstheme="minorHAnsi"/>
        </w:rPr>
        <w:t xml:space="preserve">točke 3.1.2. </w:t>
      </w:r>
      <w:r w:rsidRPr="00D54AAB">
        <w:rPr>
          <w:rFonts w:cstheme="minorHAnsi"/>
        </w:rPr>
        <w:t>ažurirani ako nisu stariji od dana početka postupka</w:t>
      </w:r>
      <w:r>
        <w:rPr>
          <w:rFonts w:cstheme="minorHAnsi"/>
        </w:rPr>
        <w:t xml:space="preserve"> </w:t>
      </w:r>
      <w:r w:rsidRPr="00D54AAB">
        <w:rPr>
          <w:rFonts w:cstheme="minorHAnsi"/>
        </w:rPr>
        <w:t>nabave.</w:t>
      </w:r>
    </w:p>
    <w:p w14:paraId="74862684" w14:textId="77777777" w:rsidR="003231E4" w:rsidRPr="00AF4214" w:rsidRDefault="003231E4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23" w:name="_Toc25733146"/>
      <w:bookmarkEnd w:id="22"/>
      <w:r w:rsidRPr="00AF4214">
        <w:rPr>
          <w:rFonts w:asciiTheme="minorHAnsi" w:hAnsiTheme="minorHAnsi" w:cstheme="minorHAnsi"/>
          <w:b/>
          <w:color w:val="auto"/>
        </w:rPr>
        <w:lastRenderedPageBreak/>
        <w:t>KRITERIJI ZA ODABIR GOSPODARSKOG SUBJEKTA (UVJETI SPOSOBNOSTI):</w:t>
      </w:r>
      <w:bookmarkEnd w:id="23"/>
    </w:p>
    <w:p w14:paraId="598094BB" w14:textId="77777777" w:rsidR="008314C5" w:rsidRDefault="003231E4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4" w:name="_Toc25733147"/>
      <w:r w:rsidRPr="00AF4214">
        <w:rPr>
          <w:rFonts w:asciiTheme="minorHAnsi" w:hAnsiTheme="minorHAnsi" w:cstheme="minorHAnsi"/>
          <w:b/>
          <w:color w:val="auto"/>
        </w:rPr>
        <w:t xml:space="preserve">UVJETI SPOSOBNOSTI ZA OBAVLJANJE </w:t>
      </w:r>
      <w:r w:rsidR="00D37252" w:rsidRPr="00AF4214">
        <w:rPr>
          <w:rFonts w:asciiTheme="minorHAnsi" w:hAnsiTheme="minorHAnsi" w:cstheme="minorHAnsi"/>
          <w:b/>
          <w:color w:val="auto"/>
        </w:rPr>
        <w:t>PROFESIONALNE</w:t>
      </w:r>
      <w:r w:rsidRPr="00AF4214">
        <w:rPr>
          <w:rFonts w:asciiTheme="minorHAnsi" w:hAnsiTheme="minorHAnsi" w:cstheme="minorHAnsi"/>
          <w:b/>
          <w:color w:val="auto"/>
        </w:rPr>
        <w:t xml:space="preserve"> DJELATNOSTI</w:t>
      </w:r>
      <w:bookmarkEnd w:id="24"/>
    </w:p>
    <w:p w14:paraId="34D6B0A9" w14:textId="77777777" w:rsidR="002D5168" w:rsidRPr="00812C31" w:rsidRDefault="002D5168" w:rsidP="002D5168">
      <w:pPr>
        <w:pStyle w:val="Naslov3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Toc25733148"/>
      <w:r w:rsidRPr="00812C31">
        <w:rPr>
          <w:rFonts w:asciiTheme="minorHAnsi" w:hAnsiTheme="minorHAnsi" w:cstheme="minorHAnsi"/>
          <w:b/>
          <w:bCs/>
          <w:sz w:val="22"/>
          <w:szCs w:val="22"/>
        </w:rPr>
        <w:t xml:space="preserve">Gospodarski subjekt mora dokazati svoj upis u sudski, obrtni, strukovni ili drugi odgovarajući registar u državi njegova poslovnog </w:t>
      </w:r>
      <w:proofErr w:type="spellStart"/>
      <w:r w:rsidRPr="00812C31">
        <w:rPr>
          <w:rFonts w:asciiTheme="minorHAnsi" w:hAnsiTheme="minorHAnsi" w:cstheme="minorHAnsi"/>
          <w:b/>
          <w:bCs/>
          <w:sz w:val="22"/>
          <w:szCs w:val="22"/>
        </w:rPr>
        <w:t>nastana</w:t>
      </w:r>
      <w:proofErr w:type="spellEnd"/>
      <w:r w:rsidRPr="00812C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441E5C" w14:textId="77777777" w:rsidR="002D5168" w:rsidRPr="00812C31" w:rsidRDefault="002D5168" w:rsidP="002D5168">
      <w:pPr>
        <w:spacing w:after="0"/>
        <w:ind w:left="708"/>
        <w:jc w:val="both"/>
        <w:rPr>
          <w:rFonts w:cstheme="minorHAnsi"/>
        </w:rPr>
      </w:pPr>
      <w:r w:rsidRPr="00812C31">
        <w:rPr>
          <w:rFonts w:cstheme="minorHAnsi"/>
        </w:rPr>
        <w:t xml:space="preserve">Sposobnost za obavljanje profesionalne djelatnosti gospodarskog subjekta </w:t>
      </w:r>
      <w:r w:rsidRPr="00812C31">
        <w:rPr>
          <w:rFonts w:cstheme="minorHAnsi"/>
          <w:b/>
        </w:rPr>
        <w:t>dokazuje se</w:t>
      </w:r>
      <w:r w:rsidRPr="00812C31">
        <w:rPr>
          <w:rFonts w:cstheme="minorHAnsi"/>
        </w:rPr>
        <w:t>:</w:t>
      </w:r>
    </w:p>
    <w:p w14:paraId="6F4D7687" w14:textId="77777777" w:rsidR="002D5168" w:rsidRPr="00812C31" w:rsidRDefault="002D5168" w:rsidP="002D5168">
      <w:pPr>
        <w:spacing w:after="0"/>
        <w:ind w:left="708"/>
        <w:jc w:val="both"/>
        <w:rPr>
          <w:rFonts w:cstheme="minorHAnsi"/>
        </w:rPr>
      </w:pPr>
      <w:r w:rsidRPr="00812C31">
        <w:rPr>
          <w:rFonts w:cstheme="minorHAnsi"/>
        </w:rPr>
        <w:t xml:space="preserve">1. izvatkom iz sudskog, obrtnog, strukovnog ili drugog odgovarajućeg registra koji se vodi u državi članici njegova poslovnog </w:t>
      </w:r>
      <w:proofErr w:type="spellStart"/>
      <w:r w:rsidRPr="00812C31">
        <w:rPr>
          <w:rFonts w:cstheme="minorHAnsi"/>
        </w:rPr>
        <w:t>nastana</w:t>
      </w:r>
      <w:proofErr w:type="spellEnd"/>
    </w:p>
    <w:p w14:paraId="09C90159" w14:textId="51B59991" w:rsidR="002D5168" w:rsidRDefault="002D5168" w:rsidP="002D5168">
      <w:pPr>
        <w:spacing w:after="0"/>
        <w:ind w:left="708"/>
        <w:jc w:val="both"/>
        <w:rPr>
          <w:rFonts w:cstheme="minorHAnsi"/>
        </w:rPr>
      </w:pPr>
      <w:r w:rsidRPr="00812C31">
        <w:rPr>
          <w:rFonts w:cstheme="minorHAnsi"/>
        </w:rPr>
        <w:t>2. potvrdom o ovlaštenju ili članstvu u određenoj organizaciji u državi njegova sjedišta.</w:t>
      </w:r>
    </w:p>
    <w:p w14:paraId="3ED1222C" w14:textId="77777777" w:rsidR="00365049" w:rsidRPr="00812C31" w:rsidRDefault="00365049" w:rsidP="002D5168">
      <w:pPr>
        <w:spacing w:after="0"/>
        <w:ind w:left="708"/>
        <w:jc w:val="both"/>
        <w:rPr>
          <w:rFonts w:cstheme="minorHAnsi"/>
        </w:rPr>
      </w:pPr>
    </w:p>
    <w:p w14:paraId="7F4560CF" w14:textId="1CC7C281" w:rsidR="002D5168" w:rsidRPr="00812C31" w:rsidRDefault="00D54AAB" w:rsidP="00643A18">
      <w:pPr>
        <w:spacing w:after="0"/>
        <w:ind w:left="708"/>
        <w:jc w:val="both"/>
        <w:rPr>
          <w:rFonts w:cstheme="minorHAnsi"/>
        </w:rPr>
      </w:pPr>
      <w:r w:rsidRPr="00D54AAB">
        <w:rPr>
          <w:rFonts w:cstheme="minorHAnsi"/>
        </w:rPr>
        <w:t xml:space="preserve">Smatra da su dokumenti iz točke </w:t>
      </w:r>
      <w:r>
        <w:rPr>
          <w:rFonts w:cstheme="minorHAnsi"/>
        </w:rPr>
        <w:t>4</w:t>
      </w:r>
      <w:r w:rsidRPr="00D54AAB">
        <w:rPr>
          <w:rFonts w:cstheme="minorHAnsi"/>
        </w:rPr>
        <w:t>.1.</w:t>
      </w:r>
      <w:r>
        <w:rPr>
          <w:rFonts w:cstheme="minorHAnsi"/>
        </w:rPr>
        <w:t>1</w:t>
      </w:r>
      <w:r w:rsidRPr="00D54AAB">
        <w:rPr>
          <w:rFonts w:cstheme="minorHAnsi"/>
        </w:rPr>
        <w:t>. ažurirani ako nisu stariji od dana početka postupka nabave.</w:t>
      </w:r>
    </w:p>
    <w:p w14:paraId="239FEF38" w14:textId="77777777" w:rsidR="002D5168" w:rsidRPr="00812C31" w:rsidRDefault="002D5168" w:rsidP="002D5168">
      <w:pPr>
        <w:pStyle w:val="Naslov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2C31">
        <w:rPr>
          <w:rFonts w:asciiTheme="minorHAnsi" w:hAnsiTheme="minorHAnsi" w:cstheme="minorHAnsi"/>
          <w:b/>
          <w:color w:val="auto"/>
          <w:sz w:val="22"/>
          <w:szCs w:val="22"/>
        </w:rPr>
        <w:t>Dozvola Hrvatske energetske regulatorne agencije za obavljanje energetske djelatnosti opskrbe energijom, koja je izdana sukladno članku 16. Zakona o energiji  (Narodne novine br. 120/12 i 14/14 i 95/15).</w:t>
      </w:r>
    </w:p>
    <w:p w14:paraId="49A9014C" w14:textId="77777777" w:rsidR="002D5168" w:rsidRPr="00812C31" w:rsidRDefault="002D5168" w:rsidP="002D5168">
      <w:pPr>
        <w:pStyle w:val="Naslov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2C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Dokaz: </w:t>
      </w:r>
      <w:r w:rsidRPr="00812C31">
        <w:rPr>
          <w:rFonts w:asciiTheme="minorHAnsi" w:hAnsiTheme="minorHAnsi" w:cstheme="minorHAnsi"/>
          <w:bCs/>
          <w:color w:val="auto"/>
          <w:sz w:val="22"/>
          <w:szCs w:val="22"/>
        </w:rPr>
        <w:t>rješenje o izdavanju dozvole za obavljanje energetske djelatnosti opskrbe energijom Hrvatske energetske regulatorne agencije. Dokaz se prilaže u obliku preslike važeće dozvole izdane od Hrvatske energetske regulatorne agencije te navedenim dokazom ponuditelj mora dokazati da je ovlašten za obavljanje djelatnosti opskrbe električnom energijom.</w:t>
      </w:r>
    </w:p>
    <w:p w14:paraId="73A3A529" w14:textId="77777777" w:rsidR="002D5168" w:rsidRPr="00812C31" w:rsidRDefault="002D5168" w:rsidP="002D5168">
      <w:pPr>
        <w:pStyle w:val="Naslov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2C31">
        <w:rPr>
          <w:rFonts w:asciiTheme="minorHAnsi" w:hAnsiTheme="minorHAnsi" w:cstheme="minorHAnsi"/>
          <w:b/>
          <w:color w:val="auto"/>
          <w:sz w:val="22"/>
          <w:szCs w:val="22"/>
        </w:rPr>
        <w:t>Preslika sklopljenog Sporazuma kojim se reguliraju prava i obveze između ponuditelja (opskrbljivača) i Operatora tržišta, sukladno članku 17. Pravila djelovanja tržišta električne energije (Narodne novine broj 135/06, 146/10 i 90/12).</w:t>
      </w:r>
    </w:p>
    <w:p w14:paraId="68040CF4" w14:textId="77777777" w:rsidR="002D5168" w:rsidRPr="00812C31" w:rsidRDefault="002D5168" w:rsidP="002D5168">
      <w:pPr>
        <w:pStyle w:val="Naslov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2C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Dokaz </w:t>
      </w:r>
      <w:r w:rsidRPr="00812C31">
        <w:rPr>
          <w:rFonts w:asciiTheme="minorHAnsi" w:hAnsiTheme="minorHAnsi" w:cstheme="minorHAnsi"/>
          <w:bCs/>
          <w:color w:val="auto"/>
          <w:sz w:val="22"/>
          <w:szCs w:val="22"/>
        </w:rPr>
        <w:t>se prilaže u obliku preslike važećeg Sporazuma ili potvrde Hrvatskog operatora tržišta energije d.o.o. ili na drugi dokaziv način</w:t>
      </w:r>
      <w:bookmarkEnd w:id="25"/>
      <w:r w:rsidRPr="00812C31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7E71DE9A" w14:textId="77777777" w:rsidR="003F74DB" w:rsidRPr="00AF4214" w:rsidRDefault="003F74DB" w:rsidP="003F74DB">
      <w:pPr>
        <w:jc w:val="both"/>
        <w:rPr>
          <w:rFonts w:cstheme="minorHAnsi"/>
          <w:bCs/>
        </w:rPr>
      </w:pPr>
    </w:p>
    <w:p w14:paraId="7175C4B6" w14:textId="77777777" w:rsidR="000A4DF7" w:rsidRPr="00AF4214" w:rsidRDefault="000A4DF7" w:rsidP="00E701A1">
      <w:pPr>
        <w:jc w:val="both"/>
        <w:rPr>
          <w:rFonts w:cstheme="minorHAnsi"/>
          <w:b/>
          <w:bCs/>
        </w:rPr>
      </w:pPr>
      <w:r w:rsidRPr="00AF4214">
        <w:rPr>
          <w:rFonts w:cstheme="minorHAnsi"/>
          <w:b/>
          <w:bCs/>
        </w:rPr>
        <w:t>Sve dokumente koje naručitelj zahtijeva u ovom postupku nabave, ponuditelji mogu dostaviti u neovjerenoj preslici. Neovjerenom preslikom smatra se i neovjereni ispis elektroničke isprave.</w:t>
      </w:r>
    </w:p>
    <w:p w14:paraId="4E08633E" w14:textId="12552145" w:rsidR="000A4DF7" w:rsidRPr="00AF4214" w:rsidRDefault="000A4DF7" w:rsidP="00E701A1">
      <w:pPr>
        <w:jc w:val="both"/>
        <w:rPr>
          <w:rFonts w:cstheme="minorHAnsi"/>
        </w:rPr>
      </w:pPr>
      <w:r w:rsidRPr="00AF4214">
        <w:rPr>
          <w:rFonts w:cstheme="minorHAnsi"/>
          <w:b/>
        </w:rPr>
        <w:t xml:space="preserve">Naručitelj </w:t>
      </w:r>
      <w:r w:rsidR="00365049">
        <w:rPr>
          <w:rFonts w:cstheme="minorHAnsi"/>
          <w:b/>
        </w:rPr>
        <w:t>može</w:t>
      </w:r>
      <w:r w:rsidRPr="00AF4214">
        <w:rPr>
          <w:rFonts w:cstheme="minorHAnsi"/>
          <w:b/>
        </w:rPr>
        <w:t xml:space="preserve"> od odabranog ponuditelja zatražiti dostavu dokumenata u originalu ili ovjerenoj preslici prije sklapanja ugovora o nabavi</w:t>
      </w:r>
      <w:r w:rsidRPr="00AF4214">
        <w:rPr>
          <w:rFonts w:cstheme="minorHAnsi"/>
        </w:rPr>
        <w:t>.</w:t>
      </w:r>
    </w:p>
    <w:p w14:paraId="32D4155F" w14:textId="77777777" w:rsidR="009F285E" w:rsidRPr="00AF4214" w:rsidRDefault="009F285E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26" w:name="_Toc25733151"/>
      <w:r w:rsidRPr="00AF4214">
        <w:rPr>
          <w:rFonts w:asciiTheme="minorHAnsi" w:hAnsiTheme="minorHAnsi" w:cstheme="minorHAnsi"/>
          <w:b/>
          <w:color w:val="auto"/>
        </w:rPr>
        <w:t>PODACI O PONUDI:</w:t>
      </w:r>
      <w:bookmarkEnd w:id="26"/>
    </w:p>
    <w:p w14:paraId="0D449ACE" w14:textId="77777777" w:rsidR="009F285E" w:rsidRPr="00AF4214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7" w:name="_Toc25733152"/>
      <w:r w:rsidRPr="00AF4214">
        <w:rPr>
          <w:rFonts w:asciiTheme="minorHAnsi" w:hAnsiTheme="minorHAnsi" w:cstheme="minorHAnsi"/>
          <w:b/>
          <w:color w:val="auto"/>
        </w:rPr>
        <w:t>SADRŽAJ I NAČIN IZRADE:</w:t>
      </w:r>
      <w:bookmarkEnd w:id="27"/>
    </w:p>
    <w:p w14:paraId="1BF39AA5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Ponuda sadrži najmanje:</w:t>
      </w:r>
    </w:p>
    <w:p w14:paraId="6B805C31" w14:textId="77777777" w:rsidR="000A4DF7" w:rsidRPr="00AF4214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>popunjeni ponudbeni list,</w:t>
      </w:r>
    </w:p>
    <w:p w14:paraId="365DC31B" w14:textId="77777777" w:rsidR="000A4DF7" w:rsidRPr="00AF4214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>popunjeni troškovnik,</w:t>
      </w:r>
    </w:p>
    <w:p w14:paraId="4612ADA9" w14:textId="77777777" w:rsidR="000A4DF7" w:rsidRPr="00AF4214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>dokumente sukladno t. 3</w:t>
      </w:r>
      <w:r w:rsidR="00BB77A5" w:rsidRPr="00AF4214">
        <w:rPr>
          <w:rFonts w:cstheme="minorHAnsi"/>
        </w:rPr>
        <w:t xml:space="preserve"> i 4</w:t>
      </w:r>
      <w:r w:rsidRPr="00AF4214">
        <w:rPr>
          <w:rFonts w:cstheme="minorHAnsi"/>
        </w:rPr>
        <w:t xml:space="preserve"> Dokumentacije o nabavi</w:t>
      </w:r>
    </w:p>
    <w:p w14:paraId="559D17D7" w14:textId="77777777" w:rsidR="000A4DF7" w:rsidRPr="00AF4214" w:rsidRDefault="000A4DF7" w:rsidP="00315582">
      <w:pPr>
        <w:pStyle w:val="Naslov3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8" w:name="_Toc25733153"/>
      <w:r w:rsidRPr="00AF4214">
        <w:rPr>
          <w:rFonts w:asciiTheme="minorHAnsi" w:hAnsiTheme="minorHAnsi" w:cstheme="minorHAnsi"/>
          <w:color w:val="auto"/>
          <w:sz w:val="22"/>
          <w:szCs w:val="22"/>
        </w:rPr>
        <w:t>Ponuda i svi njezini dijelovi se izrađuju na hrvatskom jeziku i latiničnom pismu.</w:t>
      </w:r>
      <w:bookmarkEnd w:id="28"/>
      <w:r w:rsidRPr="00AF42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4214">
        <w:rPr>
          <w:rFonts w:asciiTheme="minorHAnsi" w:hAnsiTheme="minorHAnsi" w:cstheme="minorHAnsi"/>
          <w:sz w:val="22"/>
          <w:szCs w:val="22"/>
        </w:rPr>
        <w:t>Ukoliko original dokumenta nije na hrvatskom jeziku i latiničnom pismu, obvezno se prilaže i prijevod ovlaštenog sudskog tumača za jezik s kojeg je prijevod izvršen.</w:t>
      </w:r>
      <w:r w:rsidR="005E4544" w:rsidRPr="00AF4214">
        <w:rPr>
          <w:rFonts w:asciiTheme="minorHAnsi" w:hAnsiTheme="minorHAnsi" w:cstheme="minorHAnsi"/>
          <w:sz w:val="22"/>
          <w:szCs w:val="22"/>
        </w:rPr>
        <w:t xml:space="preserve"> </w:t>
      </w:r>
      <w:r w:rsidRPr="00AF4214">
        <w:rPr>
          <w:rFonts w:asciiTheme="minorHAnsi" w:hAnsiTheme="minorHAnsi" w:cstheme="minorHAnsi"/>
          <w:sz w:val="22"/>
          <w:szCs w:val="22"/>
        </w:rPr>
        <w:t>Prijevod dokumenta osigurava ponuditelj o svom trošku.</w:t>
      </w:r>
      <w:r w:rsidR="00315582" w:rsidRPr="00AF4214">
        <w:rPr>
          <w:rFonts w:asciiTheme="minorHAnsi" w:hAnsiTheme="minorHAnsi" w:cstheme="minorHAnsi"/>
          <w:sz w:val="22"/>
          <w:szCs w:val="22"/>
        </w:rPr>
        <w:t xml:space="preserve"> </w:t>
      </w:r>
      <w:r w:rsidRPr="00AF4214">
        <w:rPr>
          <w:rFonts w:asciiTheme="minorHAnsi" w:hAnsiTheme="minorHAnsi" w:cstheme="minorHAnsi"/>
          <w:sz w:val="22"/>
          <w:szCs w:val="22"/>
        </w:rPr>
        <w:t>Ponuda se dostavlja u zatvorenoj omotnici na adresu naručitelja: OPĆINA STUBIČKE TOPLICE, VIKTORA ŠIPEKA 16, 49244 STUBIČKE TOPLICE.</w:t>
      </w:r>
    </w:p>
    <w:p w14:paraId="06A87F15" w14:textId="77777777" w:rsidR="00315582" w:rsidRPr="00AF4214" w:rsidRDefault="00315582" w:rsidP="000A4DF7">
      <w:pPr>
        <w:spacing w:after="0"/>
        <w:jc w:val="both"/>
        <w:rPr>
          <w:rFonts w:cstheme="minorHAnsi"/>
        </w:rPr>
      </w:pPr>
    </w:p>
    <w:p w14:paraId="091FF24B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lastRenderedPageBreak/>
        <w:t>Na omotnici ponude mora biti naznačeno:</w:t>
      </w:r>
    </w:p>
    <w:p w14:paraId="299EDA6C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naziv i adresa naručitelja,</w:t>
      </w:r>
    </w:p>
    <w:p w14:paraId="4E2E3D65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naziv i adresa ponuditelja,</w:t>
      </w:r>
    </w:p>
    <w:p w14:paraId="5EF63590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naziv predmeta nabave</w:t>
      </w:r>
      <w:r w:rsidR="009C1455" w:rsidRPr="00AF4214">
        <w:rPr>
          <w:rFonts w:cstheme="minorHAnsi"/>
        </w:rPr>
        <w:t xml:space="preserve"> i evidencijskog broja nabave</w:t>
      </w:r>
      <w:r w:rsidRPr="00AF4214">
        <w:rPr>
          <w:rFonts w:cstheme="minorHAnsi"/>
        </w:rPr>
        <w:t>,</w:t>
      </w:r>
    </w:p>
    <w:p w14:paraId="2671C867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naznaka „ne otvaraj“</w:t>
      </w:r>
    </w:p>
    <w:p w14:paraId="7621F141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Ponuditelj može do isteka roka za dostavu ponuda dostaviti izmjenu i/ili dopunu svoje ponude.</w:t>
      </w:r>
    </w:p>
    <w:p w14:paraId="0F3142A7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Izmjena i/ili dopuna ponude dostavlja se na isti način kao i osnovna ponuda uz obveznu naznaku da se radi o izmjeni i/ili dopuni ponude.</w:t>
      </w:r>
    </w:p>
    <w:p w14:paraId="6FD6B3D7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Ponuditelj može do isteka roka za dostavu ponude pisanom izjavom odustati od svoje dostavljene ponude. Pisana izjava dostavlja se na isti način kao i ponuda, uz obveznu naznaku da se radi o odustajanju od ponude.</w:t>
      </w:r>
    </w:p>
    <w:p w14:paraId="1ABE41A2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Ponuditelj ne smije mijenjati ili dopunjavati tekst Dokumentacije za nabavu pri izradi ponude.</w:t>
      </w:r>
    </w:p>
    <w:p w14:paraId="0FE8A784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U slučaju da omotnica nije zatvorena i označena kako je navedeno u ovoj Dokumentaciji, naručitelj ne snosi odgovornost ukoliko se ponuda otvori prije roka.</w:t>
      </w:r>
    </w:p>
    <w:p w14:paraId="6B6F2740" w14:textId="77777777" w:rsidR="000A4DF7" w:rsidRPr="00AF4214" w:rsidRDefault="00315582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Naručitelj</w:t>
      </w:r>
      <w:r w:rsidR="000A4DF7" w:rsidRPr="00AF4214">
        <w:rPr>
          <w:rFonts w:cstheme="minorHAnsi"/>
        </w:rPr>
        <w:t xml:space="preserve"> ne snosi odgovornost ukoliko se ponuda izgubi prilikom dostave.</w:t>
      </w:r>
    </w:p>
    <w:p w14:paraId="2241BA36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 xml:space="preserve">Ponuditelj sam snosi troškove izrade ponude. </w:t>
      </w:r>
    </w:p>
    <w:p w14:paraId="4E917C1D" w14:textId="77777777" w:rsidR="000A4DF7" w:rsidRPr="00AF4214" w:rsidRDefault="000A4DF7" w:rsidP="000A4DF7">
      <w:pPr>
        <w:spacing w:after="0"/>
        <w:ind w:firstLine="708"/>
        <w:jc w:val="both"/>
        <w:rPr>
          <w:rFonts w:cstheme="minorHAnsi"/>
        </w:rPr>
      </w:pPr>
    </w:p>
    <w:p w14:paraId="3E533DDA" w14:textId="77777777" w:rsidR="009F285E" w:rsidRPr="00AF4214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9" w:name="_Toc25733154"/>
      <w:r w:rsidRPr="00AF4214">
        <w:rPr>
          <w:rFonts w:asciiTheme="minorHAnsi" w:hAnsiTheme="minorHAnsi" w:cstheme="minorHAnsi"/>
          <w:b/>
          <w:color w:val="auto"/>
        </w:rPr>
        <w:t>NAČIN ODREĐIVANJA CIJENE PONUDE</w:t>
      </w:r>
      <w:bookmarkEnd w:id="29"/>
    </w:p>
    <w:p w14:paraId="1A789B74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Cijena ponude piše se brojkama u apsolutnom iznosu i izražava se u kunama. </w:t>
      </w:r>
    </w:p>
    <w:p w14:paraId="1FF08104" w14:textId="77777777" w:rsidR="000A4DF7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Ponuditelj iskazuje jedinične i ukupnu cijenu u kunama bez PDV-a</w:t>
      </w:r>
      <w:r w:rsidR="005E02D3" w:rsidRPr="00AF4214">
        <w:rPr>
          <w:rFonts w:cstheme="minorHAnsi"/>
        </w:rPr>
        <w:t>,</w:t>
      </w:r>
      <w:r w:rsidRPr="00AF4214">
        <w:rPr>
          <w:rFonts w:cstheme="minorHAnsi"/>
        </w:rPr>
        <w:t xml:space="preserve"> te s PDV-om u obrascu Troškovnika na mjestima koja su za to predviđena. Ponuditelj mora iskazati cijenu (cijenu u apsolutnom iznosu) za cjelokupni predmet nabave u kunama bez PDV-a koji se iskazuje zasebno iza cijene ponude te ukupnu cijenu ponude koju čini cijena ponude s porezom na dodanu vrijednost</w:t>
      </w:r>
      <w:r w:rsidR="000A4DF7" w:rsidRPr="00AF4214">
        <w:rPr>
          <w:rFonts w:cstheme="minorHAnsi"/>
        </w:rPr>
        <w:t>.</w:t>
      </w:r>
    </w:p>
    <w:p w14:paraId="6892420E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Ako ponuditelj nije u sustavu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4DFCF77D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U cijenu ponude moraju biti uračunati svi troškovi i popusti. </w:t>
      </w:r>
    </w:p>
    <w:p w14:paraId="7CAF5F88" w14:textId="77777777" w:rsidR="0000093F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Ponuditelji su obvezni popuniti sve jedinične cijene i stavke troškovnika. Jedinične cijene iskazuju se bez PDV-a.</w:t>
      </w:r>
    </w:p>
    <w:p w14:paraId="6EF0DE89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Sve cijene moraju biti zaokružene na dvije decimale.</w:t>
      </w:r>
    </w:p>
    <w:p w14:paraId="299630F8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Cijena ponude je nepromjenjiva tijekom trajanja ugovora o nabavi te će zahtjev za promjenu cijene uslijed promjene cijene nafte ili drugih sirovina tijekom izvršenja ugovora biti odbijen.</w:t>
      </w:r>
    </w:p>
    <w:p w14:paraId="01E17609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Ako </w:t>
      </w:r>
      <w:r w:rsidR="00855A08" w:rsidRPr="00AF4214">
        <w:rPr>
          <w:rFonts w:cstheme="minorHAnsi"/>
        </w:rPr>
        <w:t>p</w:t>
      </w:r>
      <w:r w:rsidRPr="00AF4214">
        <w:rPr>
          <w:rFonts w:cstheme="minorHAnsi"/>
        </w:rPr>
        <w:t xml:space="preserve">onuditelj ne postupi u skladu sa zahtjevima iz ove točke Dokumentacije o nabavi ili promijeni tekst ili količine navedene u </w:t>
      </w:r>
      <w:r w:rsidR="00315582" w:rsidRPr="00AF4214">
        <w:rPr>
          <w:rFonts w:cstheme="minorHAnsi"/>
        </w:rPr>
        <w:t>T</w:t>
      </w:r>
      <w:r w:rsidRPr="00AF4214">
        <w:rPr>
          <w:rFonts w:cstheme="minorHAnsi"/>
        </w:rPr>
        <w:t xml:space="preserve">roškovniku, smatrat će se da je takav </w:t>
      </w:r>
      <w:r w:rsidR="00315582" w:rsidRPr="00AF4214">
        <w:rPr>
          <w:rFonts w:cstheme="minorHAnsi"/>
        </w:rPr>
        <w:t>T</w:t>
      </w:r>
      <w:r w:rsidRPr="00AF4214">
        <w:rPr>
          <w:rFonts w:cstheme="minorHAnsi"/>
        </w:rPr>
        <w:t>roškovnik nepotpun i nevažeći te će ponuda biti odbijena.</w:t>
      </w:r>
    </w:p>
    <w:p w14:paraId="4179E5E0" w14:textId="77777777" w:rsidR="009F285E" w:rsidRPr="00AF4214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0" w:name="_Toc25733155"/>
      <w:r w:rsidRPr="00AF4214">
        <w:rPr>
          <w:rFonts w:asciiTheme="minorHAnsi" w:hAnsiTheme="minorHAnsi" w:cstheme="minorHAnsi"/>
          <w:b/>
          <w:color w:val="auto"/>
        </w:rPr>
        <w:t>VALUTA PONUDE</w:t>
      </w:r>
      <w:bookmarkEnd w:id="30"/>
    </w:p>
    <w:p w14:paraId="7C749B77" w14:textId="77777777" w:rsidR="005872CF" w:rsidRPr="00AF4214" w:rsidRDefault="005872CF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Cijena ponude izražava se u hrvatskim kunama (HRK).</w:t>
      </w:r>
    </w:p>
    <w:p w14:paraId="207D13F3" w14:textId="77777777" w:rsidR="001E5C32" w:rsidRPr="00AF4214" w:rsidRDefault="009F285E" w:rsidP="001E5C32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1" w:name="_Toc25733156"/>
      <w:r w:rsidRPr="00AF4214">
        <w:rPr>
          <w:rFonts w:asciiTheme="minorHAnsi" w:hAnsiTheme="minorHAnsi" w:cstheme="minorHAnsi"/>
          <w:b/>
          <w:color w:val="auto"/>
        </w:rPr>
        <w:t>KRITERIJ ZA ODABIR PONUDE</w:t>
      </w:r>
      <w:bookmarkEnd w:id="31"/>
    </w:p>
    <w:p w14:paraId="79732485" w14:textId="77777777" w:rsidR="001E5C32" w:rsidRPr="00AF4214" w:rsidRDefault="001E5C32" w:rsidP="001E5C32">
      <w:pPr>
        <w:rPr>
          <w:rFonts w:cstheme="minorHAnsi"/>
        </w:rPr>
      </w:pPr>
      <w:r w:rsidRPr="00AF4214">
        <w:rPr>
          <w:rFonts w:cstheme="minorHAnsi"/>
        </w:rPr>
        <w:t>Najniža cijena.</w:t>
      </w:r>
    </w:p>
    <w:p w14:paraId="514CFAF3" w14:textId="77777777" w:rsidR="00855A08" w:rsidRPr="00AF4214" w:rsidRDefault="00855A08" w:rsidP="00855A08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2" w:name="_Toc25733157"/>
      <w:r w:rsidRPr="00AF4214">
        <w:rPr>
          <w:rFonts w:asciiTheme="minorHAnsi" w:hAnsiTheme="minorHAnsi" w:cstheme="minorHAnsi"/>
          <w:b/>
          <w:color w:val="auto"/>
        </w:rPr>
        <w:lastRenderedPageBreak/>
        <w:t>ROK VALJANOSTI PONUDE</w:t>
      </w:r>
      <w:bookmarkEnd w:id="32"/>
    </w:p>
    <w:p w14:paraId="11442734" w14:textId="77777777" w:rsidR="00855A08" w:rsidRPr="00AF4214" w:rsidRDefault="00855A08" w:rsidP="00855A08">
      <w:pPr>
        <w:rPr>
          <w:rFonts w:cstheme="minorHAnsi"/>
        </w:rPr>
      </w:pPr>
      <w:r w:rsidRPr="00AF4214">
        <w:rPr>
          <w:rFonts w:cstheme="minorHAnsi"/>
        </w:rPr>
        <w:t>60 dana od isteka roka za dostavu ponude.</w:t>
      </w:r>
    </w:p>
    <w:p w14:paraId="7EA0B115" w14:textId="77777777" w:rsidR="00855A08" w:rsidRPr="00AF4214" w:rsidRDefault="00855A08" w:rsidP="004E2469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3" w:name="_Toc25733158"/>
      <w:r w:rsidRPr="00AF4214">
        <w:rPr>
          <w:rFonts w:asciiTheme="minorHAnsi" w:hAnsiTheme="minorHAnsi" w:cstheme="minorHAnsi"/>
          <w:b/>
          <w:color w:val="auto"/>
        </w:rPr>
        <w:t>ROK ZA DOSTAVU PONUDE</w:t>
      </w:r>
      <w:bookmarkEnd w:id="33"/>
    </w:p>
    <w:p w14:paraId="75B65F7F" w14:textId="2B1ED306" w:rsidR="00855A08" w:rsidRPr="00AF4214" w:rsidRDefault="00855A08" w:rsidP="00855A08">
      <w:pPr>
        <w:pStyle w:val="Naslov1"/>
        <w:numPr>
          <w:ilvl w:val="0"/>
          <w:numId w:val="0"/>
        </w:num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34" w:name="_Toc25733159"/>
      <w:r w:rsidRPr="00AF4214">
        <w:rPr>
          <w:rFonts w:asciiTheme="minorHAnsi" w:hAnsiTheme="minorHAnsi" w:cstheme="minorHAnsi"/>
          <w:color w:val="auto"/>
          <w:sz w:val="22"/>
          <w:szCs w:val="22"/>
        </w:rPr>
        <w:t xml:space="preserve">Rok za dostavu ponude je </w:t>
      </w:r>
      <w:r w:rsidR="002D5168" w:rsidRPr="00FA2130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51217A" w:rsidRPr="00FA2130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DB6E57" w:rsidRPr="00FA2130">
        <w:rPr>
          <w:rFonts w:asciiTheme="minorHAnsi" w:hAnsiTheme="minorHAnsi" w:cstheme="minorHAnsi"/>
          <w:b/>
          <w:bCs/>
          <w:color w:val="auto"/>
          <w:sz w:val="22"/>
          <w:szCs w:val="22"/>
        </w:rPr>
        <w:t>. prosinca</w:t>
      </w:r>
      <w:r w:rsidRPr="00DB6E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 w:rsidR="0051217A"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  <w:r w:rsidRPr="00DB6E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godine do </w:t>
      </w:r>
      <w:r w:rsidR="00DB6E57" w:rsidRPr="00DB6E57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D5168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Pr="00DB6E57">
        <w:rPr>
          <w:rFonts w:asciiTheme="minorHAnsi" w:hAnsiTheme="minorHAnsi" w:cstheme="minorHAnsi"/>
          <w:b/>
          <w:bCs/>
          <w:color w:val="auto"/>
          <w:sz w:val="22"/>
          <w:szCs w:val="22"/>
        </w:rPr>
        <w:t>:00 sati</w:t>
      </w:r>
      <w:r w:rsidRPr="00AF4214">
        <w:rPr>
          <w:rFonts w:asciiTheme="minorHAnsi" w:hAnsiTheme="minorHAnsi" w:cstheme="minorHAnsi"/>
          <w:color w:val="auto"/>
          <w:sz w:val="22"/>
          <w:szCs w:val="22"/>
        </w:rPr>
        <w:t>. Ponuda mora biti zaprimljena kod naručitelja do navedenoga roka, bez obzira na način dostave.</w:t>
      </w:r>
      <w:bookmarkEnd w:id="34"/>
    </w:p>
    <w:p w14:paraId="707A887D" w14:textId="77777777" w:rsidR="009F285E" w:rsidRPr="00AF4214" w:rsidRDefault="009F285E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35" w:name="_Toc25733160"/>
      <w:r w:rsidRPr="00AF4214">
        <w:rPr>
          <w:rFonts w:asciiTheme="minorHAnsi" w:hAnsiTheme="minorHAnsi" w:cstheme="minorHAnsi"/>
          <w:b/>
          <w:color w:val="auto"/>
        </w:rPr>
        <w:t>OSTALE ODREDBE:</w:t>
      </w:r>
      <w:bookmarkEnd w:id="35"/>
    </w:p>
    <w:p w14:paraId="27D31F45" w14:textId="77777777" w:rsidR="00BD0CA0" w:rsidRPr="00AF4214" w:rsidRDefault="00BD0CA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6" w:name="_Toc25733164"/>
      <w:r w:rsidRPr="00AF4214">
        <w:rPr>
          <w:rFonts w:asciiTheme="minorHAnsi" w:hAnsiTheme="minorHAnsi" w:cstheme="minorHAnsi"/>
          <w:b/>
          <w:color w:val="auto"/>
        </w:rPr>
        <w:t>DATUM, VRIJEME I MJESTO OTVARANJA PONUDA</w:t>
      </w:r>
      <w:bookmarkEnd w:id="36"/>
    </w:p>
    <w:p w14:paraId="69635748" w14:textId="054CB622" w:rsidR="00BF54FC" w:rsidRPr="00AF4214" w:rsidRDefault="00207D96" w:rsidP="00476F25">
      <w:pPr>
        <w:jc w:val="both"/>
        <w:rPr>
          <w:rFonts w:cstheme="minorHAnsi"/>
          <w:b/>
        </w:rPr>
      </w:pPr>
      <w:r w:rsidRPr="00AF4214">
        <w:rPr>
          <w:rFonts w:cstheme="minorHAnsi"/>
          <w:b/>
        </w:rPr>
        <w:t>O</w:t>
      </w:r>
      <w:r w:rsidR="00BF54FC" w:rsidRPr="00AF4214">
        <w:rPr>
          <w:rFonts w:cstheme="minorHAnsi"/>
          <w:b/>
        </w:rPr>
        <w:t xml:space="preserve">tvaranje ponuda održati će se odmah po isteku roka za dostavu ponuda, odnosno </w:t>
      </w:r>
      <w:r w:rsidR="00BF54FC" w:rsidRPr="00DB6E57">
        <w:rPr>
          <w:rFonts w:cstheme="minorHAnsi"/>
          <w:b/>
        </w:rPr>
        <w:t xml:space="preserve">dana </w:t>
      </w:r>
      <w:r w:rsidR="002D5168" w:rsidRPr="00FA2130">
        <w:rPr>
          <w:rFonts w:cstheme="minorHAnsi"/>
          <w:b/>
        </w:rPr>
        <w:t>1</w:t>
      </w:r>
      <w:r w:rsidR="0051217A" w:rsidRPr="00FA2130">
        <w:rPr>
          <w:rFonts w:cstheme="minorHAnsi"/>
          <w:b/>
        </w:rPr>
        <w:t>4</w:t>
      </w:r>
      <w:r w:rsidR="002448DF" w:rsidRPr="00FA2130">
        <w:rPr>
          <w:rFonts w:cstheme="minorHAnsi"/>
          <w:b/>
        </w:rPr>
        <w:t xml:space="preserve">. </w:t>
      </w:r>
      <w:r w:rsidR="00DB6E57" w:rsidRPr="00FA2130">
        <w:rPr>
          <w:rFonts w:cstheme="minorHAnsi"/>
          <w:b/>
        </w:rPr>
        <w:t>prosinca</w:t>
      </w:r>
      <w:r w:rsidR="002448DF" w:rsidRPr="00DB6E57">
        <w:rPr>
          <w:rFonts w:cstheme="minorHAnsi"/>
          <w:b/>
        </w:rPr>
        <w:t xml:space="preserve"> 20</w:t>
      </w:r>
      <w:r w:rsidR="0051217A">
        <w:rPr>
          <w:rFonts w:cstheme="minorHAnsi"/>
          <w:b/>
        </w:rPr>
        <w:t>20</w:t>
      </w:r>
      <w:r w:rsidR="002448DF" w:rsidRPr="00DB6E57">
        <w:rPr>
          <w:rFonts w:cstheme="minorHAnsi"/>
          <w:b/>
        </w:rPr>
        <w:t xml:space="preserve">. </w:t>
      </w:r>
      <w:r w:rsidR="00BF54FC" w:rsidRPr="00DB6E57">
        <w:rPr>
          <w:rFonts w:cstheme="minorHAnsi"/>
          <w:b/>
        </w:rPr>
        <w:t xml:space="preserve">u </w:t>
      </w:r>
      <w:r w:rsidR="00DB6E57" w:rsidRPr="00DB6E57">
        <w:rPr>
          <w:rFonts w:cstheme="minorHAnsi"/>
          <w:b/>
        </w:rPr>
        <w:t>1</w:t>
      </w:r>
      <w:r w:rsidR="002D5168">
        <w:rPr>
          <w:rFonts w:cstheme="minorHAnsi"/>
          <w:b/>
        </w:rPr>
        <w:t>0</w:t>
      </w:r>
      <w:r w:rsidR="002448DF" w:rsidRPr="00DB6E57">
        <w:rPr>
          <w:rFonts w:cstheme="minorHAnsi"/>
          <w:b/>
        </w:rPr>
        <w:t>:00</w:t>
      </w:r>
      <w:r w:rsidR="00BF54FC" w:rsidRPr="00DB6E57">
        <w:rPr>
          <w:rFonts w:cstheme="minorHAnsi"/>
          <w:b/>
        </w:rPr>
        <w:t xml:space="preserve"> sati, u Općin</w:t>
      </w:r>
      <w:r w:rsidRPr="00DB6E57">
        <w:rPr>
          <w:rFonts w:cstheme="minorHAnsi"/>
          <w:b/>
        </w:rPr>
        <w:t>i</w:t>
      </w:r>
      <w:r w:rsidR="00BF54FC" w:rsidRPr="00DB6E57">
        <w:rPr>
          <w:rFonts w:cstheme="minorHAnsi"/>
          <w:b/>
        </w:rPr>
        <w:t xml:space="preserve"> Stubičke Toplice, Viktora </w:t>
      </w:r>
      <w:proofErr w:type="spellStart"/>
      <w:r w:rsidR="00BF54FC" w:rsidRPr="00DB6E57">
        <w:rPr>
          <w:rFonts w:cstheme="minorHAnsi"/>
          <w:b/>
        </w:rPr>
        <w:t>Šipeka</w:t>
      </w:r>
      <w:proofErr w:type="spellEnd"/>
      <w:r w:rsidR="00BF54FC" w:rsidRPr="00DB6E57">
        <w:rPr>
          <w:rFonts w:cstheme="minorHAnsi"/>
          <w:b/>
        </w:rPr>
        <w:t xml:space="preserve"> 16, Stubičke Toplice.</w:t>
      </w:r>
    </w:p>
    <w:p w14:paraId="23184E5C" w14:textId="77777777" w:rsidR="00476F25" w:rsidRPr="00AF4214" w:rsidRDefault="00207D96" w:rsidP="00476F25">
      <w:pPr>
        <w:jc w:val="both"/>
        <w:rPr>
          <w:rFonts w:cstheme="minorHAnsi"/>
        </w:rPr>
      </w:pPr>
      <w:r w:rsidRPr="00AF4214">
        <w:rPr>
          <w:rFonts w:cstheme="minorHAnsi"/>
        </w:rPr>
        <w:t>Otvaranje ponuda nije javno.</w:t>
      </w:r>
    </w:p>
    <w:p w14:paraId="7682D3CB" w14:textId="77777777" w:rsidR="003F74DB" w:rsidRPr="00AF4214" w:rsidRDefault="00BD0CA0" w:rsidP="003F74DB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7" w:name="_Toc25733167"/>
      <w:r w:rsidRPr="00AF4214">
        <w:rPr>
          <w:rFonts w:asciiTheme="minorHAnsi" w:hAnsiTheme="minorHAnsi" w:cstheme="minorHAnsi"/>
          <w:b/>
          <w:color w:val="auto"/>
        </w:rPr>
        <w:t>ROK ZA DONOŠENJE ODLUKE O ODABIRU</w:t>
      </w:r>
      <w:bookmarkEnd w:id="37"/>
    </w:p>
    <w:p w14:paraId="140411AD" w14:textId="77777777" w:rsidR="00FA450A" w:rsidRDefault="00FA450A" w:rsidP="00FA450A">
      <w:pPr>
        <w:rPr>
          <w:rFonts w:cstheme="minorHAnsi"/>
        </w:rPr>
      </w:pPr>
      <w:r w:rsidRPr="00AF4214">
        <w:rPr>
          <w:rFonts w:cstheme="minorHAnsi"/>
        </w:rPr>
        <w:t xml:space="preserve">Rok za donošenje Odluke o odabiru je </w:t>
      </w:r>
      <w:r w:rsidR="00670121" w:rsidRPr="00AF4214">
        <w:rPr>
          <w:rFonts w:cstheme="minorHAnsi"/>
        </w:rPr>
        <w:t>6</w:t>
      </w:r>
      <w:r w:rsidRPr="00AF4214">
        <w:rPr>
          <w:rFonts w:cstheme="minorHAnsi"/>
        </w:rPr>
        <w:t xml:space="preserve">0 dana od isteka roka za dostavu ponuda. </w:t>
      </w:r>
    </w:p>
    <w:p w14:paraId="7B26E84B" w14:textId="53C5BD9B" w:rsidR="00BE6D95" w:rsidRPr="00BE6D95" w:rsidRDefault="00BE6D95" w:rsidP="0051217A">
      <w:pPr>
        <w:jc w:val="both"/>
        <w:rPr>
          <w:rFonts w:cstheme="minorHAnsi"/>
        </w:rPr>
      </w:pPr>
      <w:r w:rsidRPr="00BE6D95">
        <w:rPr>
          <w:rFonts w:cstheme="minorHAnsi"/>
        </w:rPr>
        <w:t>Protiv odluke o odabiru ili poništenju može se pokrenuti upravni spor, sukladno čl. 77a. Zakona o lokalnoj i područnoj (regionalnoj) samoupravi (Nar. nov. br. 33/01, 60/01, 129/05, 109/07, 36/09, 125/08, 150/11, 144/12, 19/13, 137/15, 123/17</w:t>
      </w:r>
      <w:r w:rsidR="00365049">
        <w:rPr>
          <w:rFonts w:cstheme="minorHAnsi"/>
        </w:rPr>
        <w:t xml:space="preserve"> i 98/19</w:t>
      </w:r>
      <w:r w:rsidRPr="00BE6D95">
        <w:rPr>
          <w:rFonts w:cstheme="minorHAnsi"/>
        </w:rPr>
        <w:t>).</w:t>
      </w:r>
    </w:p>
    <w:p w14:paraId="1EAA8C45" w14:textId="77777777" w:rsidR="00BE6D95" w:rsidRPr="00AF4214" w:rsidRDefault="00BE6D95" w:rsidP="0051217A">
      <w:pPr>
        <w:jc w:val="both"/>
        <w:rPr>
          <w:rFonts w:cstheme="minorHAnsi"/>
        </w:rPr>
      </w:pPr>
      <w:r w:rsidRPr="00BE6D95">
        <w:rPr>
          <w:rFonts w:cstheme="minorHAnsi"/>
        </w:rPr>
        <w:t>Dostava Odluke o odabiru/poništenju ponuditeljima izvršit će se putem adrese elektroničke pošte naznačene u Ponudbenom listu. Odluku o odabiru/poništenju naručitelj objavljuje i na svojoj internetskoj stranici.</w:t>
      </w:r>
    </w:p>
    <w:p w14:paraId="0FD3F2D5" w14:textId="77777777" w:rsidR="00BD0CA0" w:rsidRPr="00AF4214" w:rsidRDefault="00BD0CA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8" w:name="_Toc25733168"/>
      <w:r w:rsidRPr="00AF4214">
        <w:rPr>
          <w:rFonts w:asciiTheme="minorHAnsi" w:hAnsiTheme="minorHAnsi" w:cstheme="minorHAnsi"/>
          <w:b/>
          <w:color w:val="auto"/>
        </w:rPr>
        <w:t>ROK, NAČIN I UVJETI PLAĆANJA</w:t>
      </w:r>
      <w:bookmarkEnd w:id="38"/>
    </w:p>
    <w:p w14:paraId="51179EF5" w14:textId="77777777" w:rsidR="005E4544" w:rsidRPr="00AF4214" w:rsidRDefault="005E4544" w:rsidP="001E7B19">
      <w:pPr>
        <w:jc w:val="both"/>
        <w:rPr>
          <w:rFonts w:cstheme="minorHAnsi"/>
        </w:rPr>
      </w:pPr>
      <w:r w:rsidRPr="00AF4214">
        <w:rPr>
          <w:rFonts w:cstheme="minorHAnsi"/>
        </w:rPr>
        <w:t>Plaćanje će se izvršiti na temelju ispostavljenog e-računa, u roku ne kasnijem od 60 dana, na Izvođačev žiro račun.</w:t>
      </w:r>
    </w:p>
    <w:p w14:paraId="123A0515" w14:textId="77777777" w:rsidR="005E4544" w:rsidRPr="00AF4214" w:rsidRDefault="005E4544" w:rsidP="001E7B19">
      <w:pPr>
        <w:jc w:val="both"/>
        <w:rPr>
          <w:rFonts w:cstheme="minorHAnsi"/>
        </w:rPr>
      </w:pPr>
      <w:r w:rsidRPr="00AF4214">
        <w:rPr>
          <w:rFonts w:cstheme="minorHAnsi"/>
        </w:rPr>
        <w:t>Naručitelj ne osigurava predujam (avans). Naručitelj ne izdaje jamstvo za ispunjenje novčane obveze</w:t>
      </w:r>
    </w:p>
    <w:p w14:paraId="56E1B591" w14:textId="77777777" w:rsidR="00DC7594" w:rsidRPr="00AF4214" w:rsidRDefault="005E4544" w:rsidP="000221EB">
      <w:pPr>
        <w:jc w:val="both"/>
        <w:rPr>
          <w:rFonts w:cstheme="minorHAnsi"/>
        </w:rPr>
      </w:pPr>
      <w:r w:rsidRPr="00AF4214">
        <w:rPr>
          <w:rFonts w:cstheme="minorHAnsi"/>
        </w:rPr>
        <w:t>Jedinične cijene sa svaki izvršeni posao moraju odgovarati jediničnim cijenama istaknutim u Troškovniku ponude.</w:t>
      </w:r>
    </w:p>
    <w:p w14:paraId="2BFF6BB2" w14:textId="77777777" w:rsidR="004B5EE2" w:rsidRPr="00AF4214" w:rsidRDefault="004B5EE2" w:rsidP="004B5EE2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9" w:name="_Toc25733169"/>
      <w:r w:rsidRPr="00AF4214">
        <w:rPr>
          <w:rFonts w:asciiTheme="minorHAnsi" w:hAnsiTheme="minorHAnsi" w:cstheme="minorHAnsi"/>
          <w:b/>
          <w:color w:val="auto"/>
        </w:rPr>
        <w:t xml:space="preserve">DATUM OBJAVE NA </w:t>
      </w:r>
      <w:hyperlink r:id="rId11" w:history="1">
        <w:r w:rsidRPr="008A323C">
          <w:rPr>
            <w:rStyle w:val="Hiperveza"/>
            <w:rFonts w:asciiTheme="minorHAnsi" w:hAnsiTheme="minorHAnsi" w:cstheme="minorHAnsi"/>
            <w:b/>
            <w:color w:val="auto"/>
            <w:u w:val="none"/>
          </w:rPr>
          <w:t>WWW.STUBICKETOPLICE.HR</w:t>
        </w:r>
      </w:hyperlink>
      <w:r w:rsidRPr="00AF4214">
        <w:rPr>
          <w:rFonts w:asciiTheme="minorHAnsi" w:hAnsiTheme="minorHAnsi" w:cstheme="minorHAnsi"/>
          <w:b/>
          <w:color w:val="auto"/>
        </w:rPr>
        <w:t>:</w:t>
      </w:r>
      <w:bookmarkEnd w:id="39"/>
    </w:p>
    <w:p w14:paraId="00D35459" w14:textId="3B21C115" w:rsidR="00CA5A78" w:rsidRDefault="00DB6E57" w:rsidP="006E71DF">
      <w:pPr>
        <w:rPr>
          <w:rFonts w:cstheme="minorHAnsi"/>
        </w:rPr>
      </w:pPr>
      <w:r w:rsidRPr="00DB6E57">
        <w:rPr>
          <w:rFonts w:cstheme="minorHAnsi"/>
        </w:rPr>
        <w:t>0</w:t>
      </w:r>
      <w:r w:rsidR="002D5168">
        <w:rPr>
          <w:rFonts w:cstheme="minorHAnsi"/>
        </w:rPr>
        <w:t>3</w:t>
      </w:r>
      <w:r w:rsidR="004B5EE2" w:rsidRPr="00DB6E57">
        <w:rPr>
          <w:rFonts w:cstheme="minorHAnsi"/>
        </w:rPr>
        <w:t xml:space="preserve">. </w:t>
      </w:r>
      <w:r w:rsidRPr="00DB6E57">
        <w:rPr>
          <w:rFonts w:cstheme="minorHAnsi"/>
        </w:rPr>
        <w:t>prosinca</w:t>
      </w:r>
      <w:r w:rsidR="004B5EE2" w:rsidRPr="00DB6E57">
        <w:rPr>
          <w:rFonts w:cstheme="minorHAnsi"/>
        </w:rPr>
        <w:t xml:space="preserve"> </w:t>
      </w:r>
      <w:r w:rsidR="004B5EE2" w:rsidRPr="00CA5A78">
        <w:rPr>
          <w:rFonts w:cstheme="minorHAnsi"/>
        </w:rPr>
        <w:t>20</w:t>
      </w:r>
      <w:r w:rsidR="0051217A">
        <w:rPr>
          <w:rFonts w:cstheme="minorHAnsi"/>
        </w:rPr>
        <w:t>20</w:t>
      </w:r>
      <w:r w:rsidR="004B5EE2" w:rsidRPr="00CA5A78">
        <w:rPr>
          <w:rFonts w:cstheme="minorHAnsi"/>
        </w:rPr>
        <w:t>. godine</w:t>
      </w:r>
      <w:r w:rsidR="002D5168">
        <w:rPr>
          <w:rFonts w:cstheme="minorHAnsi"/>
        </w:rPr>
        <w:t>:</w:t>
      </w:r>
      <w:r w:rsidR="002D5168" w:rsidRPr="002D5168">
        <w:t xml:space="preserve"> </w:t>
      </w:r>
      <w:hyperlink r:id="rId12" w:history="1">
        <w:r w:rsidR="002D5168" w:rsidRPr="002449C1">
          <w:rPr>
            <w:rStyle w:val="Hiperveza"/>
            <w:rFonts w:cstheme="minorHAnsi"/>
          </w:rPr>
          <w:t>http://www.stubicketoplice.hr/postupci-nabave-i-natjecaji</w:t>
        </w:r>
      </w:hyperlink>
    </w:p>
    <w:p w14:paraId="46579527" w14:textId="77777777" w:rsid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</w:p>
    <w:p w14:paraId="2901C333" w14:textId="77777777" w:rsidR="00CA5A78" w:rsidRP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 w:rsidRPr="00CA5A78">
        <w:rPr>
          <w:rFonts w:eastAsiaTheme="minorHAnsi" w:cstheme="minorHAnsi"/>
        </w:rPr>
        <w:t>Povjerenstvo za postupak nabave:</w:t>
      </w:r>
    </w:p>
    <w:p w14:paraId="43AA4C26" w14:textId="77777777" w:rsidR="00CA5A78" w:rsidRP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 w:rsidRPr="00CA5A78">
        <w:rPr>
          <w:rFonts w:eastAsiaTheme="minorHAnsi" w:cstheme="minorHAnsi"/>
        </w:rPr>
        <w:t xml:space="preserve">Maja Ivačević, </w:t>
      </w:r>
      <w:proofErr w:type="spellStart"/>
      <w:r w:rsidRPr="00CA5A78">
        <w:rPr>
          <w:rFonts w:eastAsiaTheme="minorHAnsi" w:cstheme="minorHAnsi"/>
        </w:rPr>
        <w:t>dipl.iur</w:t>
      </w:r>
      <w:proofErr w:type="spellEnd"/>
      <w:r w:rsidRPr="00CA5A78">
        <w:rPr>
          <w:rFonts w:eastAsiaTheme="minorHAnsi" w:cstheme="minorHAnsi"/>
        </w:rPr>
        <w:t>.</w:t>
      </w:r>
    </w:p>
    <w:p w14:paraId="773838B9" w14:textId="77777777" w:rsidR="00CA5A78" w:rsidRP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 w:rsidRPr="00CA5A78">
        <w:rPr>
          <w:rFonts w:eastAsiaTheme="minorHAnsi" w:cstheme="minorHAnsi"/>
        </w:rPr>
        <w:t xml:space="preserve">Dubravka Špiček, </w:t>
      </w:r>
      <w:proofErr w:type="spellStart"/>
      <w:r w:rsidRPr="00CA5A78">
        <w:rPr>
          <w:rFonts w:eastAsiaTheme="minorHAnsi" w:cstheme="minorHAnsi"/>
        </w:rPr>
        <w:t>mag.oec</w:t>
      </w:r>
      <w:proofErr w:type="spellEnd"/>
      <w:r w:rsidR="00812C31">
        <w:rPr>
          <w:rFonts w:eastAsiaTheme="minorHAnsi" w:cstheme="minorHAnsi"/>
        </w:rPr>
        <w:t>.</w:t>
      </w:r>
    </w:p>
    <w:p w14:paraId="42E51921" w14:textId="13C21842" w:rsidR="00CA5A78" w:rsidRPr="00CA5A78" w:rsidRDefault="0051217A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>
        <w:rPr>
          <w:rFonts w:eastAsiaTheme="minorHAnsi" w:cstheme="minorHAnsi"/>
        </w:rPr>
        <w:t>Tea Penezić</w:t>
      </w:r>
      <w:r w:rsidR="00CA5A78" w:rsidRPr="00CA5A78">
        <w:rPr>
          <w:rFonts w:eastAsiaTheme="minorHAnsi" w:cstheme="minorHAnsi"/>
        </w:rPr>
        <w:t xml:space="preserve">, </w:t>
      </w:r>
      <w:proofErr w:type="spellStart"/>
      <w:r w:rsidR="00CA5A78" w:rsidRPr="00CA5A78">
        <w:rPr>
          <w:rFonts w:eastAsiaTheme="minorHAnsi" w:cstheme="minorHAnsi"/>
        </w:rPr>
        <w:t>mag.</w:t>
      </w:r>
      <w:r>
        <w:rPr>
          <w:rFonts w:eastAsiaTheme="minorHAnsi" w:cstheme="minorHAnsi"/>
        </w:rPr>
        <w:t>iur</w:t>
      </w:r>
      <w:proofErr w:type="spellEnd"/>
      <w:r w:rsidR="00CA5A78" w:rsidRPr="00CA5A78">
        <w:rPr>
          <w:rFonts w:eastAsiaTheme="minorHAnsi" w:cstheme="minorHAnsi"/>
        </w:rPr>
        <w:t>.</w:t>
      </w:r>
    </w:p>
    <w:sectPr w:rsidR="00CA5A78" w:rsidRPr="00CA5A7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1569" w14:textId="77777777" w:rsidR="0090432A" w:rsidRDefault="0090432A" w:rsidP="00B95ADA">
      <w:pPr>
        <w:spacing w:after="0" w:line="240" w:lineRule="auto"/>
      </w:pPr>
      <w:r>
        <w:separator/>
      </w:r>
    </w:p>
  </w:endnote>
  <w:endnote w:type="continuationSeparator" w:id="0">
    <w:p w14:paraId="27BA3D83" w14:textId="77777777" w:rsidR="0090432A" w:rsidRDefault="0090432A" w:rsidP="00B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025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5B9C16" w14:textId="77777777" w:rsidR="0090432A" w:rsidRDefault="0090432A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FE6AA" w14:textId="77777777" w:rsidR="0090432A" w:rsidRDefault="009043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B352" w14:textId="77777777" w:rsidR="0090432A" w:rsidRDefault="0090432A" w:rsidP="00B95ADA">
      <w:pPr>
        <w:spacing w:after="0" w:line="240" w:lineRule="auto"/>
      </w:pPr>
      <w:r>
        <w:separator/>
      </w:r>
    </w:p>
  </w:footnote>
  <w:footnote w:type="continuationSeparator" w:id="0">
    <w:p w14:paraId="30FAC950" w14:textId="77777777" w:rsidR="0090432A" w:rsidRDefault="0090432A" w:rsidP="00B9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3A5C"/>
    <w:multiLevelType w:val="hybridMultilevel"/>
    <w:tmpl w:val="340E6F3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9E"/>
    <w:multiLevelType w:val="hybridMultilevel"/>
    <w:tmpl w:val="19C276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F16"/>
    <w:multiLevelType w:val="hybridMultilevel"/>
    <w:tmpl w:val="1B90B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A49"/>
    <w:multiLevelType w:val="multilevel"/>
    <w:tmpl w:val="B6C6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1B540F41"/>
    <w:multiLevelType w:val="hybridMultilevel"/>
    <w:tmpl w:val="AAC4CCD6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09E1"/>
    <w:multiLevelType w:val="hybridMultilevel"/>
    <w:tmpl w:val="4CA6E14E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3364"/>
    <w:multiLevelType w:val="hybridMultilevel"/>
    <w:tmpl w:val="80CA47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31228"/>
    <w:multiLevelType w:val="multilevel"/>
    <w:tmpl w:val="B87C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3266D6"/>
    <w:multiLevelType w:val="hybridMultilevel"/>
    <w:tmpl w:val="535673D2"/>
    <w:lvl w:ilvl="0" w:tplc="1A580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5CC5"/>
    <w:multiLevelType w:val="hybridMultilevel"/>
    <w:tmpl w:val="1C262E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1944"/>
    <w:multiLevelType w:val="hybridMultilevel"/>
    <w:tmpl w:val="19BE16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008A0"/>
    <w:multiLevelType w:val="hybridMultilevel"/>
    <w:tmpl w:val="4B30BE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E3686"/>
    <w:multiLevelType w:val="hybridMultilevel"/>
    <w:tmpl w:val="F69C5C7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F705C"/>
    <w:multiLevelType w:val="hybridMultilevel"/>
    <w:tmpl w:val="84E25B48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E5411"/>
    <w:multiLevelType w:val="multilevel"/>
    <w:tmpl w:val="0E3207F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slov2"/>
      <w:lvlText w:val="%1.%2"/>
      <w:lvlJc w:val="left"/>
      <w:pPr>
        <w:ind w:left="1853" w:hanging="576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b/>
        <w:bCs/>
        <w:color w:val="auto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0"/>
    <w:rsid w:val="0000093F"/>
    <w:rsid w:val="0000580A"/>
    <w:rsid w:val="000077E4"/>
    <w:rsid w:val="0001451E"/>
    <w:rsid w:val="000221EB"/>
    <w:rsid w:val="00022C1A"/>
    <w:rsid w:val="00031751"/>
    <w:rsid w:val="00047E40"/>
    <w:rsid w:val="00052E95"/>
    <w:rsid w:val="000627F0"/>
    <w:rsid w:val="00063035"/>
    <w:rsid w:val="00075955"/>
    <w:rsid w:val="00076C8E"/>
    <w:rsid w:val="00077FE1"/>
    <w:rsid w:val="000827B0"/>
    <w:rsid w:val="00097688"/>
    <w:rsid w:val="000A4DF7"/>
    <w:rsid w:val="000B17E2"/>
    <w:rsid w:val="000B1A88"/>
    <w:rsid w:val="000B317E"/>
    <w:rsid w:val="000B6741"/>
    <w:rsid w:val="000D07E5"/>
    <w:rsid w:val="000E221D"/>
    <w:rsid w:val="000F3F31"/>
    <w:rsid w:val="00112EF8"/>
    <w:rsid w:val="00114DD0"/>
    <w:rsid w:val="00121436"/>
    <w:rsid w:val="001271D1"/>
    <w:rsid w:val="00131402"/>
    <w:rsid w:val="00141CB6"/>
    <w:rsid w:val="001422D2"/>
    <w:rsid w:val="001423E4"/>
    <w:rsid w:val="001461D7"/>
    <w:rsid w:val="0015171E"/>
    <w:rsid w:val="00165A78"/>
    <w:rsid w:val="00183204"/>
    <w:rsid w:val="00187861"/>
    <w:rsid w:val="00193984"/>
    <w:rsid w:val="001A0A2A"/>
    <w:rsid w:val="001B0C01"/>
    <w:rsid w:val="001C0C3D"/>
    <w:rsid w:val="001C5232"/>
    <w:rsid w:val="001C620D"/>
    <w:rsid w:val="001D141D"/>
    <w:rsid w:val="001D1CBC"/>
    <w:rsid w:val="001D5298"/>
    <w:rsid w:val="001D5C12"/>
    <w:rsid w:val="001D5E7B"/>
    <w:rsid w:val="001E0692"/>
    <w:rsid w:val="001E5C32"/>
    <w:rsid w:val="001E7B19"/>
    <w:rsid w:val="002016A4"/>
    <w:rsid w:val="00201FCA"/>
    <w:rsid w:val="00207D96"/>
    <w:rsid w:val="002267AF"/>
    <w:rsid w:val="00235393"/>
    <w:rsid w:val="00240438"/>
    <w:rsid w:val="002448DF"/>
    <w:rsid w:val="00264258"/>
    <w:rsid w:val="002809CF"/>
    <w:rsid w:val="00290A93"/>
    <w:rsid w:val="002921DF"/>
    <w:rsid w:val="0029491E"/>
    <w:rsid w:val="002949A8"/>
    <w:rsid w:val="002955B8"/>
    <w:rsid w:val="002A6998"/>
    <w:rsid w:val="002B56F8"/>
    <w:rsid w:val="002C2C1E"/>
    <w:rsid w:val="002C3A5F"/>
    <w:rsid w:val="002C572C"/>
    <w:rsid w:val="002D29CB"/>
    <w:rsid w:val="002D2C8D"/>
    <w:rsid w:val="002D5168"/>
    <w:rsid w:val="002D5E8B"/>
    <w:rsid w:val="002D63DF"/>
    <w:rsid w:val="002D7A5F"/>
    <w:rsid w:val="002E4D6B"/>
    <w:rsid w:val="002F46E7"/>
    <w:rsid w:val="002F544A"/>
    <w:rsid w:val="002F5E73"/>
    <w:rsid w:val="00302BD0"/>
    <w:rsid w:val="00304170"/>
    <w:rsid w:val="00315582"/>
    <w:rsid w:val="003231E4"/>
    <w:rsid w:val="00350EF4"/>
    <w:rsid w:val="00354888"/>
    <w:rsid w:val="00360E2B"/>
    <w:rsid w:val="00365049"/>
    <w:rsid w:val="0036656A"/>
    <w:rsid w:val="00367E01"/>
    <w:rsid w:val="00370E18"/>
    <w:rsid w:val="0038578C"/>
    <w:rsid w:val="003B27F6"/>
    <w:rsid w:val="003C3E9C"/>
    <w:rsid w:val="003C4915"/>
    <w:rsid w:val="003D0F18"/>
    <w:rsid w:val="003D17F3"/>
    <w:rsid w:val="003E0EF2"/>
    <w:rsid w:val="003F0596"/>
    <w:rsid w:val="003F3AF5"/>
    <w:rsid w:val="003F74DB"/>
    <w:rsid w:val="00403D35"/>
    <w:rsid w:val="00406821"/>
    <w:rsid w:val="00420661"/>
    <w:rsid w:val="0042199C"/>
    <w:rsid w:val="00425F17"/>
    <w:rsid w:val="004358FF"/>
    <w:rsid w:val="00437395"/>
    <w:rsid w:val="00461E1B"/>
    <w:rsid w:val="00472A45"/>
    <w:rsid w:val="00476F25"/>
    <w:rsid w:val="0048025C"/>
    <w:rsid w:val="004B5EE2"/>
    <w:rsid w:val="004D148A"/>
    <w:rsid w:val="004E2469"/>
    <w:rsid w:val="004E5C6F"/>
    <w:rsid w:val="0050660D"/>
    <w:rsid w:val="0051217A"/>
    <w:rsid w:val="00515C36"/>
    <w:rsid w:val="005364DE"/>
    <w:rsid w:val="00537071"/>
    <w:rsid w:val="00537A3C"/>
    <w:rsid w:val="00541CD7"/>
    <w:rsid w:val="0054589C"/>
    <w:rsid w:val="005516F6"/>
    <w:rsid w:val="005574D0"/>
    <w:rsid w:val="00566090"/>
    <w:rsid w:val="00577F85"/>
    <w:rsid w:val="00581D0D"/>
    <w:rsid w:val="0058440A"/>
    <w:rsid w:val="005872CF"/>
    <w:rsid w:val="0059798D"/>
    <w:rsid w:val="005B3286"/>
    <w:rsid w:val="005B3FC2"/>
    <w:rsid w:val="005B4B6D"/>
    <w:rsid w:val="005C19BB"/>
    <w:rsid w:val="005E02D3"/>
    <w:rsid w:val="005E1BFE"/>
    <w:rsid w:val="005E4544"/>
    <w:rsid w:val="00612C92"/>
    <w:rsid w:val="006206DD"/>
    <w:rsid w:val="00630332"/>
    <w:rsid w:val="00632B8E"/>
    <w:rsid w:val="006376CB"/>
    <w:rsid w:val="00643A18"/>
    <w:rsid w:val="00645394"/>
    <w:rsid w:val="006509E3"/>
    <w:rsid w:val="00652ADB"/>
    <w:rsid w:val="006610F1"/>
    <w:rsid w:val="00663AB4"/>
    <w:rsid w:val="006670F5"/>
    <w:rsid w:val="00670121"/>
    <w:rsid w:val="0068390A"/>
    <w:rsid w:val="0068436C"/>
    <w:rsid w:val="0069371F"/>
    <w:rsid w:val="006B37BD"/>
    <w:rsid w:val="006B3DD7"/>
    <w:rsid w:val="006B702B"/>
    <w:rsid w:val="006E2976"/>
    <w:rsid w:val="006E6B9A"/>
    <w:rsid w:val="006E71DF"/>
    <w:rsid w:val="006F3D78"/>
    <w:rsid w:val="007034EA"/>
    <w:rsid w:val="00704ED6"/>
    <w:rsid w:val="0070627C"/>
    <w:rsid w:val="00717CE8"/>
    <w:rsid w:val="00726583"/>
    <w:rsid w:val="007356D9"/>
    <w:rsid w:val="00740D2A"/>
    <w:rsid w:val="00744A13"/>
    <w:rsid w:val="00744DC7"/>
    <w:rsid w:val="00752A50"/>
    <w:rsid w:val="00756B4F"/>
    <w:rsid w:val="00762E6A"/>
    <w:rsid w:val="00772FC1"/>
    <w:rsid w:val="007733BB"/>
    <w:rsid w:val="00775B8D"/>
    <w:rsid w:val="007765E4"/>
    <w:rsid w:val="007972E2"/>
    <w:rsid w:val="007A3681"/>
    <w:rsid w:val="007A7A8D"/>
    <w:rsid w:val="007B66E6"/>
    <w:rsid w:val="007C5A55"/>
    <w:rsid w:val="007C778E"/>
    <w:rsid w:val="007C7CA9"/>
    <w:rsid w:val="007D6472"/>
    <w:rsid w:val="007E6112"/>
    <w:rsid w:val="007E7F11"/>
    <w:rsid w:val="007F3A92"/>
    <w:rsid w:val="007F7888"/>
    <w:rsid w:val="00801F10"/>
    <w:rsid w:val="00812C31"/>
    <w:rsid w:val="00822A07"/>
    <w:rsid w:val="00830551"/>
    <w:rsid w:val="008314C5"/>
    <w:rsid w:val="00855A08"/>
    <w:rsid w:val="00873B66"/>
    <w:rsid w:val="00873F09"/>
    <w:rsid w:val="00874D07"/>
    <w:rsid w:val="0087612F"/>
    <w:rsid w:val="00882A96"/>
    <w:rsid w:val="00890ABB"/>
    <w:rsid w:val="008A323C"/>
    <w:rsid w:val="008A55A0"/>
    <w:rsid w:val="008C2AE9"/>
    <w:rsid w:val="008C38A6"/>
    <w:rsid w:val="008D2D09"/>
    <w:rsid w:val="008F08A3"/>
    <w:rsid w:val="009000E9"/>
    <w:rsid w:val="0090432A"/>
    <w:rsid w:val="0091129E"/>
    <w:rsid w:val="00911411"/>
    <w:rsid w:val="0092700B"/>
    <w:rsid w:val="00933321"/>
    <w:rsid w:val="00933F53"/>
    <w:rsid w:val="009608EA"/>
    <w:rsid w:val="009639BD"/>
    <w:rsid w:val="00970A84"/>
    <w:rsid w:val="00971323"/>
    <w:rsid w:val="009729C8"/>
    <w:rsid w:val="00983035"/>
    <w:rsid w:val="009A2266"/>
    <w:rsid w:val="009A586E"/>
    <w:rsid w:val="009A5E7C"/>
    <w:rsid w:val="009B7290"/>
    <w:rsid w:val="009C1455"/>
    <w:rsid w:val="009D2337"/>
    <w:rsid w:val="009D3250"/>
    <w:rsid w:val="009F285E"/>
    <w:rsid w:val="009F2992"/>
    <w:rsid w:val="009F7C77"/>
    <w:rsid w:val="00A12A8F"/>
    <w:rsid w:val="00A21744"/>
    <w:rsid w:val="00A22C40"/>
    <w:rsid w:val="00A25A71"/>
    <w:rsid w:val="00A343BA"/>
    <w:rsid w:val="00A37174"/>
    <w:rsid w:val="00A41C51"/>
    <w:rsid w:val="00A46F11"/>
    <w:rsid w:val="00A543F8"/>
    <w:rsid w:val="00A55B98"/>
    <w:rsid w:val="00A56BF4"/>
    <w:rsid w:val="00A57345"/>
    <w:rsid w:val="00A6545B"/>
    <w:rsid w:val="00A778A8"/>
    <w:rsid w:val="00A82813"/>
    <w:rsid w:val="00A9488C"/>
    <w:rsid w:val="00A96C96"/>
    <w:rsid w:val="00A9700A"/>
    <w:rsid w:val="00A97FF3"/>
    <w:rsid w:val="00AA3A82"/>
    <w:rsid w:val="00AB1C29"/>
    <w:rsid w:val="00AB2711"/>
    <w:rsid w:val="00AB66B7"/>
    <w:rsid w:val="00AC0450"/>
    <w:rsid w:val="00AC7547"/>
    <w:rsid w:val="00AE1F76"/>
    <w:rsid w:val="00AE2489"/>
    <w:rsid w:val="00AF0992"/>
    <w:rsid w:val="00AF1EA2"/>
    <w:rsid w:val="00AF4214"/>
    <w:rsid w:val="00B07B31"/>
    <w:rsid w:val="00B11B40"/>
    <w:rsid w:val="00B137DF"/>
    <w:rsid w:val="00B17401"/>
    <w:rsid w:val="00B306DE"/>
    <w:rsid w:val="00B32F69"/>
    <w:rsid w:val="00B44B09"/>
    <w:rsid w:val="00B507D3"/>
    <w:rsid w:val="00B526FD"/>
    <w:rsid w:val="00B55500"/>
    <w:rsid w:val="00B66272"/>
    <w:rsid w:val="00B83FBB"/>
    <w:rsid w:val="00B9456D"/>
    <w:rsid w:val="00B95ADA"/>
    <w:rsid w:val="00BB446B"/>
    <w:rsid w:val="00BB77A5"/>
    <w:rsid w:val="00BD0CA0"/>
    <w:rsid w:val="00BE6D95"/>
    <w:rsid w:val="00BE7977"/>
    <w:rsid w:val="00BF48C6"/>
    <w:rsid w:val="00BF54FC"/>
    <w:rsid w:val="00BF6DBB"/>
    <w:rsid w:val="00C15E33"/>
    <w:rsid w:val="00C260BC"/>
    <w:rsid w:val="00C31995"/>
    <w:rsid w:val="00C367BB"/>
    <w:rsid w:val="00C42C78"/>
    <w:rsid w:val="00C466EC"/>
    <w:rsid w:val="00C51CD6"/>
    <w:rsid w:val="00C6020C"/>
    <w:rsid w:val="00C67373"/>
    <w:rsid w:val="00C820F4"/>
    <w:rsid w:val="00C93146"/>
    <w:rsid w:val="00C949C3"/>
    <w:rsid w:val="00CA07FC"/>
    <w:rsid w:val="00CA4DC1"/>
    <w:rsid w:val="00CA5A78"/>
    <w:rsid w:val="00CB0D93"/>
    <w:rsid w:val="00CB449A"/>
    <w:rsid w:val="00CB4C63"/>
    <w:rsid w:val="00CD3C03"/>
    <w:rsid w:val="00CD3D71"/>
    <w:rsid w:val="00CD67AA"/>
    <w:rsid w:val="00CE622F"/>
    <w:rsid w:val="00D04269"/>
    <w:rsid w:val="00D15F5F"/>
    <w:rsid w:val="00D1781C"/>
    <w:rsid w:val="00D26349"/>
    <w:rsid w:val="00D334E2"/>
    <w:rsid w:val="00D37252"/>
    <w:rsid w:val="00D504FA"/>
    <w:rsid w:val="00D54AAB"/>
    <w:rsid w:val="00D55242"/>
    <w:rsid w:val="00D55FD5"/>
    <w:rsid w:val="00D674F6"/>
    <w:rsid w:val="00D7040D"/>
    <w:rsid w:val="00D73392"/>
    <w:rsid w:val="00D86E93"/>
    <w:rsid w:val="00D90442"/>
    <w:rsid w:val="00D934B7"/>
    <w:rsid w:val="00D949FF"/>
    <w:rsid w:val="00DB3BEC"/>
    <w:rsid w:val="00DB4700"/>
    <w:rsid w:val="00DB6E47"/>
    <w:rsid w:val="00DB6E57"/>
    <w:rsid w:val="00DC7594"/>
    <w:rsid w:val="00DD44A1"/>
    <w:rsid w:val="00DD5161"/>
    <w:rsid w:val="00DD5753"/>
    <w:rsid w:val="00DE20DD"/>
    <w:rsid w:val="00DF7DF1"/>
    <w:rsid w:val="00E025E0"/>
    <w:rsid w:val="00E04F22"/>
    <w:rsid w:val="00E17BF5"/>
    <w:rsid w:val="00E26A93"/>
    <w:rsid w:val="00E27794"/>
    <w:rsid w:val="00E40EEA"/>
    <w:rsid w:val="00E43B7B"/>
    <w:rsid w:val="00E622F9"/>
    <w:rsid w:val="00E701A1"/>
    <w:rsid w:val="00E74932"/>
    <w:rsid w:val="00E75344"/>
    <w:rsid w:val="00E8199E"/>
    <w:rsid w:val="00E840AB"/>
    <w:rsid w:val="00E84BCE"/>
    <w:rsid w:val="00E92A24"/>
    <w:rsid w:val="00E96A6E"/>
    <w:rsid w:val="00EA4845"/>
    <w:rsid w:val="00EA6C11"/>
    <w:rsid w:val="00EB1A25"/>
    <w:rsid w:val="00EB6ABF"/>
    <w:rsid w:val="00ED5493"/>
    <w:rsid w:val="00ED6982"/>
    <w:rsid w:val="00EE3A90"/>
    <w:rsid w:val="00EE4143"/>
    <w:rsid w:val="00F02CBB"/>
    <w:rsid w:val="00F20496"/>
    <w:rsid w:val="00F25A31"/>
    <w:rsid w:val="00F370B9"/>
    <w:rsid w:val="00F46A5E"/>
    <w:rsid w:val="00F6273E"/>
    <w:rsid w:val="00F73F42"/>
    <w:rsid w:val="00F84428"/>
    <w:rsid w:val="00F8521F"/>
    <w:rsid w:val="00F8656A"/>
    <w:rsid w:val="00F878CE"/>
    <w:rsid w:val="00F919A0"/>
    <w:rsid w:val="00F94E61"/>
    <w:rsid w:val="00FA0D39"/>
    <w:rsid w:val="00FA13C5"/>
    <w:rsid w:val="00FA2130"/>
    <w:rsid w:val="00FA450A"/>
    <w:rsid w:val="00FB1B98"/>
    <w:rsid w:val="00FB3AB0"/>
    <w:rsid w:val="00FB5693"/>
    <w:rsid w:val="00FC1DB4"/>
    <w:rsid w:val="00FC20C4"/>
    <w:rsid w:val="00FC277C"/>
    <w:rsid w:val="00FC7776"/>
    <w:rsid w:val="00FC7892"/>
    <w:rsid w:val="00FD38A9"/>
    <w:rsid w:val="00FE208F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8160"/>
  <w15:chartTrackingRefBased/>
  <w15:docId w15:val="{2178DDFD-0826-443F-B5C2-C00F18E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39"/>
  </w:style>
  <w:style w:type="paragraph" w:styleId="Naslov1">
    <w:name w:val="heading 1"/>
    <w:basedOn w:val="Normal"/>
    <w:next w:val="Normal"/>
    <w:link w:val="Naslov1Char"/>
    <w:uiPriority w:val="9"/>
    <w:qFormat/>
    <w:rsid w:val="00FA0D3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A0D3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A0D3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A0D3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A0D3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D3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D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D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D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FA0D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A0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Char">
    <w:name w:val="Naslov 5 Char"/>
    <w:basedOn w:val="Zadanifontodlomka"/>
    <w:link w:val="Naslov5"/>
    <w:uiPriority w:val="9"/>
    <w:rsid w:val="00FA0D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D39"/>
    <w:rPr>
      <w:rFonts w:asciiTheme="majorHAnsi" w:eastAsiaTheme="majorEastAsia" w:hAnsiTheme="majorHAnsi" w:cstheme="majorBidi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D39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D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D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dlomakpopisa">
    <w:name w:val="List Paragraph"/>
    <w:basedOn w:val="Normal"/>
    <w:uiPriority w:val="34"/>
    <w:qFormat/>
    <w:rsid w:val="00752A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4258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264258"/>
    <w:rPr>
      <w:color w:val="2B579A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0B67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0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62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62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62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2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27C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FA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FA0D39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BE7977"/>
    <w:pPr>
      <w:spacing w:after="100"/>
      <w:ind w:left="220"/>
    </w:pPr>
    <w:rPr>
      <w:rFonts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E7977"/>
    <w:pPr>
      <w:spacing w:after="100"/>
    </w:pPr>
    <w:rPr>
      <w:rFonts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BE7977"/>
    <w:pPr>
      <w:spacing w:after="100"/>
      <w:ind w:left="440"/>
    </w:pPr>
    <w:rPr>
      <w:rFonts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0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A0D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0D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D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A0D39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FA0D39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FA0D39"/>
    <w:rPr>
      <w:i/>
      <w:iCs/>
      <w:color w:val="auto"/>
    </w:rPr>
  </w:style>
  <w:style w:type="paragraph" w:styleId="Bezproreda">
    <w:name w:val="No Spacing"/>
    <w:uiPriority w:val="1"/>
    <w:qFormat/>
    <w:rsid w:val="00FA0D3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0D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0D3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D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D39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FA0D39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FA0D3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0D39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FA0D39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FA0D39"/>
    <w:rPr>
      <w:b/>
      <w:bCs/>
      <w:i/>
      <w:iCs/>
      <w:spacing w:val="5"/>
    </w:rPr>
  </w:style>
  <w:style w:type="paragraph" w:styleId="Sadraj4">
    <w:name w:val="toc 4"/>
    <w:basedOn w:val="Normal"/>
    <w:next w:val="Normal"/>
    <w:autoRedefine/>
    <w:uiPriority w:val="39"/>
    <w:unhideWhenUsed/>
    <w:rsid w:val="00290A93"/>
    <w:pPr>
      <w:spacing w:after="100"/>
      <w:ind w:left="660"/>
    </w:pPr>
    <w:rPr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290A93"/>
    <w:pPr>
      <w:spacing w:after="100"/>
      <w:ind w:left="880"/>
    </w:pPr>
    <w:rPr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290A93"/>
    <w:pPr>
      <w:spacing w:after="100"/>
      <w:ind w:left="1100"/>
    </w:pPr>
    <w:rPr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290A93"/>
    <w:pPr>
      <w:spacing w:after="100"/>
      <w:ind w:left="1320"/>
    </w:pPr>
    <w:rPr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290A93"/>
    <w:pPr>
      <w:spacing w:after="100"/>
      <w:ind w:left="1540"/>
    </w:pPr>
    <w:rPr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290A93"/>
    <w:pPr>
      <w:spacing w:after="100"/>
      <w:ind w:left="1760"/>
    </w:pPr>
    <w:rPr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5ADA"/>
  </w:style>
  <w:style w:type="paragraph" w:styleId="Podnoje">
    <w:name w:val="footer"/>
    <w:basedOn w:val="Normal"/>
    <w:link w:val="Podno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5ADA"/>
  </w:style>
  <w:style w:type="character" w:styleId="Nerijeenospominjanje">
    <w:name w:val="Unresolved Mention"/>
    <w:basedOn w:val="Zadanifontodlomka"/>
    <w:uiPriority w:val="99"/>
    <w:semiHidden/>
    <w:unhideWhenUsed/>
    <w:rsid w:val="00F2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bicketoplice.hr/postupci-nabave-i-natjec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BICKETOPLIC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vnik@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CCF3-ACF3-4E78-B449-A131D30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6</cp:revision>
  <cp:lastPrinted>2020-12-01T17:08:00Z</cp:lastPrinted>
  <dcterms:created xsi:type="dcterms:W3CDTF">2020-11-29T12:58:00Z</dcterms:created>
  <dcterms:modified xsi:type="dcterms:W3CDTF">2020-12-01T17:43:00Z</dcterms:modified>
</cp:coreProperties>
</file>